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794BC7AC" w:rsidR="007B1221" w:rsidRPr="00CE0424" w:rsidRDefault="007B1221" w:rsidP="007B1221">
      <w:pPr>
        <w:pStyle w:val="3GPPHeader"/>
        <w:spacing w:after="60"/>
        <w:rPr>
          <w:sz w:val="32"/>
          <w:szCs w:val="32"/>
          <w:highlight w:val="yellow"/>
        </w:rPr>
      </w:pPr>
      <w:bookmarkStart w:id="0" w:name="_Hlk485401214"/>
      <w:r w:rsidRPr="00CE0424">
        <w:t>3GPP TSG-RAN #</w:t>
      </w:r>
      <w:r w:rsidR="006937A5">
        <w:t>8</w:t>
      </w:r>
      <w:r w:rsidR="005B450E">
        <w:t>2</w:t>
      </w:r>
      <w:r w:rsidRPr="00CE0424">
        <w:tab/>
      </w:r>
      <w:r w:rsidRPr="005B450E">
        <w:rPr>
          <w:szCs w:val="24"/>
        </w:rPr>
        <w:t>Tdoc R</w:t>
      </w:r>
      <w:r w:rsidR="006937A5" w:rsidRPr="005B450E">
        <w:rPr>
          <w:szCs w:val="24"/>
        </w:rPr>
        <w:t>P</w:t>
      </w:r>
      <w:r w:rsidRPr="005B450E">
        <w:rPr>
          <w:szCs w:val="24"/>
        </w:rPr>
        <w:t>-</w:t>
      </w:r>
      <w:r w:rsidR="009B7F8C" w:rsidRPr="005B450E">
        <w:rPr>
          <w:szCs w:val="24"/>
        </w:rPr>
        <w:t>18</w:t>
      </w:r>
      <w:r w:rsidR="009B7F8C" w:rsidRPr="00DE29A9">
        <w:rPr>
          <w:szCs w:val="24"/>
        </w:rPr>
        <w:t>2576</w:t>
      </w:r>
    </w:p>
    <w:p w14:paraId="4FEBBCA1" w14:textId="6E6D759B" w:rsidR="00F044C9" w:rsidRDefault="005B450E" w:rsidP="007B1221">
      <w:pPr>
        <w:pStyle w:val="3GPPHeader"/>
      </w:pPr>
      <w:r>
        <w:t>Sorrento, Italy</w:t>
      </w:r>
      <w:r w:rsidR="007B1221" w:rsidRPr="004A782B">
        <w:t xml:space="preserve">, </w:t>
      </w:r>
      <w:r w:rsidR="007B1221">
        <w:t>1</w:t>
      </w:r>
      <w:r w:rsidR="006937A5">
        <w:t>0</w:t>
      </w:r>
      <w:r w:rsidR="007B1221" w:rsidRPr="00D323F0">
        <w:rPr>
          <w:vertAlign w:val="superscript"/>
        </w:rPr>
        <w:t>th</w:t>
      </w:r>
      <w:r w:rsidR="007B1221">
        <w:t xml:space="preserve"> </w:t>
      </w:r>
      <w:r w:rsidR="007B1221" w:rsidRPr="00631CA0">
        <w:t xml:space="preserve">– </w:t>
      </w:r>
      <w:r w:rsidR="006937A5">
        <w:t>13</w:t>
      </w:r>
      <w:r w:rsidR="007B1221" w:rsidRPr="00B34996">
        <w:rPr>
          <w:vertAlign w:val="superscript"/>
        </w:rPr>
        <w:t>th</w:t>
      </w:r>
      <w:r w:rsidR="007B1221">
        <w:t xml:space="preserve"> </w:t>
      </w:r>
      <w:proofErr w:type="gramStart"/>
      <w:r>
        <w:t>December,</w:t>
      </w:r>
      <w:proofErr w:type="gramEnd"/>
      <w:r w:rsidR="006937A5">
        <w:t xml:space="preserve"> </w:t>
      </w:r>
      <w:r w:rsidR="007B1221" w:rsidRPr="00631CA0">
        <w:t>201</w:t>
      </w:r>
      <w:r w:rsidR="007B1221">
        <w:t>8</w:t>
      </w:r>
      <w:r w:rsidR="00F044C9">
        <w:rPr>
          <w:szCs w:val="24"/>
        </w:rPr>
        <w:tab/>
      </w:r>
      <w:bookmarkEnd w:id="0"/>
    </w:p>
    <w:p w14:paraId="1739397F" w14:textId="77777777" w:rsidR="00386D0F" w:rsidRPr="00CE0424" w:rsidRDefault="00386D0F" w:rsidP="00386D0F">
      <w:pPr>
        <w:pStyle w:val="3GPPHeader"/>
      </w:pPr>
    </w:p>
    <w:p w14:paraId="336F98C5" w14:textId="6B37FE81" w:rsidR="00C94BAE" w:rsidRPr="00B701B4" w:rsidRDefault="00C94BAE" w:rsidP="00C94BAE">
      <w:pPr>
        <w:pStyle w:val="3GPPHeader"/>
        <w:rPr>
          <w:sz w:val="22"/>
          <w:szCs w:val="22"/>
          <w:lang w:val="en-US"/>
        </w:rPr>
      </w:pPr>
      <w:r w:rsidRPr="00B701B4">
        <w:rPr>
          <w:sz w:val="22"/>
          <w:szCs w:val="22"/>
          <w:lang w:val="en-US"/>
        </w:rPr>
        <w:t>Agenda Item:</w:t>
      </w:r>
      <w:r w:rsidRPr="00B701B4">
        <w:rPr>
          <w:sz w:val="22"/>
          <w:szCs w:val="22"/>
          <w:lang w:val="en-US"/>
        </w:rPr>
        <w:tab/>
      </w:r>
      <w:r w:rsidR="009B7F8C" w:rsidRPr="00B701B4">
        <w:rPr>
          <w:sz w:val="22"/>
          <w:szCs w:val="22"/>
          <w:lang w:val="en-US"/>
        </w:rPr>
        <w:t>9.1.1</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5FF14881" w:rsidR="00C94BAE" w:rsidRDefault="00C94BAE" w:rsidP="00C94BAE">
      <w:pPr>
        <w:pStyle w:val="3GPPHeader"/>
        <w:rPr>
          <w:sz w:val="22"/>
          <w:szCs w:val="22"/>
        </w:rPr>
      </w:pPr>
      <w:r>
        <w:rPr>
          <w:sz w:val="22"/>
          <w:szCs w:val="22"/>
        </w:rPr>
        <w:t>Title:</w:t>
      </w:r>
      <w:r>
        <w:rPr>
          <w:sz w:val="22"/>
          <w:szCs w:val="22"/>
        </w:rPr>
        <w:tab/>
      </w:r>
      <w:r w:rsidR="003D7932" w:rsidRPr="003D7932">
        <w:rPr>
          <w:sz w:val="22"/>
          <w:szCs w:val="22"/>
        </w:rPr>
        <w:t xml:space="preserve">On </w:t>
      </w:r>
      <w:r w:rsidR="00B701B4">
        <w:rPr>
          <w:sz w:val="22"/>
          <w:szCs w:val="22"/>
        </w:rPr>
        <w:t>A</w:t>
      </w:r>
      <w:r w:rsidR="00C03A4F">
        <w:rPr>
          <w:sz w:val="22"/>
          <w:szCs w:val="22"/>
        </w:rPr>
        <w:t xml:space="preserve">spects </w:t>
      </w:r>
      <w:r w:rsidR="00B701B4">
        <w:rPr>
          <w:sz w:val="22"/>
          <w:szCs w:val="22"/>
        </w:rPr>
        <w:t>R</w:t>
      </w:r>
      <w:r w:rsidR="00C03A4F">
        <w:rPr>
          <w:sz w:val="22"/>
          <w:szCs w:val="22"/>
        </w:rPr>
        <w:t xml:space="preserve">elated to the NR-U </w:t>
      </w:r>
      <w:r w:rsidR="00203B00">
        <w:rPr>
          <w:sz w:val="22"/>
          <w:szCs w:val="22"/>
        </w:rPr>
        <w:t>W</w:t>
      </w:r>
      <w:r w:rsidR="009D40C7">
        <w:rPr>
          <w:sz w:val="22"/>
          <w:szCs w:val="22"/>
        </w:rPr>
        <w:t xml:space="preserve">ork </w:t>
      </w:r>
      <w:r w:rsidR="00203B00">
        <w:rPr>
          <w:sz w:val="22"/>
          <w:szCs w:val="22"/>
        </w:rPr>
        <w:t>I</w:t>
      </w:r>
      <w:r w:rsidR="009D40C7">
        <w:rPr>
          <w:sz w:val="22"/>
          <w:szCs w:val="22"/>
        </w:rPr>
        <w:t>tem</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4A0B5834" w14:textId="3F34FC7E" w:rsidR="00780A21" w:rsidRDefault="00780A21" w:rsidP="00E40888">
      <w:r>
        <w:t xml:space="preserve">The RAN1-led study item on NR-based access to unlicensed spectrum – </w:t>
      </w:r>
      <w:r w:rsidR="00AA6158">
        <w:t xml:space="preserve">focusing on </w:t>
      </w:r>
      <w:r>
        <w:t xml:space="preserve">the 5 and 6 GHz bands – was recently completed </w:t>
      </w:r>
      <w:r w:rsidR="00AA6158">
        <w:fldChar w:fldCharType="begin"/>
      </w:r>
      <w:r w:rsidR="00AA6158">
        <w:instrText xml:space="preserve"> REF _Ref531088864 \r \h </w:instrText>
      </w:r>
      <w:r w:rsidR="00AA6158">
        <w:fldChar w:fldCharType="separate"/>
      </w:r>
      <w:r w:rsidR="00AA6158">
        <w:t>[1]</w:t>
      </w:r>
      <w:r w:rsidR="00AA6158">
        <w:fldChar w:fldCharType="end"/>
      </w:r>
      <w:r>
        <w:t xml:space="preserve">, and </w:t>
      </w:r>
      <w:proofErr w:type="gramStart"/>
      <w:r>
        <w:t>an</w:t>
      </w:r>
      <w:proofErr w:type="gramEnd"/>
      <w:r>
        <w:t xml:space="preserve"> LS was sent </w:t>
      </w:r>
      <w:r w:rsidR="006702BA">
        <w:t>informing</w:t>
      </w:r>
      <w:r>
        <w:t xml:space="preserve"> RAN</w:t>
      </w:r>
      <w:r w:rsidR="006702BA">
        <w:t xml:space="preserve"> that RAN1 does not see any issues with proceeding </w:t>
      </w:r>
      <w:r>
        <w:t xml:space="preserve">with a WI </w:t>
      </w:r>
      <w:r w:rsidR="00AA6158">
        <w:fldChar w:fldCharType="begin"/>
      </w:r>
      <w:r w:rsidR="00AA6158">
        <w:instrText xml:space="preserve"> REF _Ref531088877 \r \h </w:instrText>
      </w:r>
      <w:r w:rsidR="00AA6158">
        <w:fldChar w:fldCharType="separate"/>
      </w:r>
      <w:r w:rsidR="00AA6158">
        <w:t>[2]</w:t>
      </w:r>
      <w:r w:rsidR="00AA6158">
        <w:fldChar w:fldCharType="end"/>
      </w:r>
      <w:r>
        <w:t xml:space="preserve">. A draft WID is contained in </w:t>
      </w:r>
      <w:r w:rsidR="00AA6158">
        <w:fldChar w:fldCharType="begin"/>
      </w:r>
      <w:r w:rsidR="00AA6158">
        <w:instrText xml:space="preserve"> REF _Ref531088889 \r \h </w:instrText>
      </w:r>
      <w:r w:rsidR="00AA6158">
        <w:fldChar w:fldCharType="separate"/>
      </w:r>
      <w:r w:rsidR="00AA6158">
        <w:t>[3]</w:t>
      </w:r>
      <w:r w:rsidR="00AA6158">
        <w:fldChar w:fldCharType="end"/>
      </w:r>
      <w:r w:rsidR="008B262B">
        <w:t>, and</w:t>
      </w:r>
      <w:r>
        <w:t xml:space="preserve"> </w:t>
      </w:r>
      <w:r w:rsidR="008B262B">
        <w:t>i</w:t>
      </w:r>
      <w:r>
        <w:t xml:space="preserve">n this contribution, we discuss several aspects relating to the </w:t>
      </w:r>
      <w:r w:rsidR="008B262B">
        <w:t xml:space="preserve">proposed </w:t>
      </w:r>
      <w:r>
        <w:t>workplan.</w:t>
      </w:r>
    </w:p>
    <w:p w14:paraId="08D809BE" w14:textId="16B35ABC" w:rsidR="00780A21" w:rsidRDefault="00780A21" w:rsidP="001570C7">
      <w:pPr>
        <w:pStyle w:val="Heading1"/>
      </w:pPr>
      <w:r>
        <w:t>Numerology for NR-U</w:t>
      </w:r>
    </w:p>
    <w:p w14:paraId="0137C784" w14:textId="3153DC53" w:rsidR="00D317A6" w:rsidRDefault="00D317A6" w:rsidP="001570C7">
      <w:r>
        <w:t xml:space="preserve">During the SI phase, it was identified as beneficial to operate NR-U with a single numerology for all signals/channels in a </w:t>
      </w:r>
      <w:proofErr w:type="gramStart"/>
      <w:r>
        <w:t>particular link</w:t>
      </w:r>
      <w:proofErr w:type="gramEnd"/>
      <w:r>
        <w:t xml:space="preserve"> direction (DL or UL). </w:t>
      </w:r>
      <w:r w:rsidR="006702BA">
        <w:t>A</w:t>
      </w:r>
      <w:r>
        <w:t xml:space="preserve">n attractive candidate for the single numerology is 30 kHz </w:t>
      </w:r>
      <w:r w:rsidR="00A2419F">
        <w:t xml:space="preserve">subcarrier spacing (SCS) </w:t>
      </w:r>
      <w:r w:rsidR="006702BA">
        <w:t xml:space="preserve">with a normal CP </w:t>
      </w:r>
      <w:r w:rsidR="004614B5">
        <w:t xml:space="preserve">(NCP) </w:t>
      </w:r>
      <w:r>
        <w:t>from both the standpoint of performance and the fact that this numerology is already supported in NR Rel-15. In contrast, adopting 60 kHz</w:t>
      </w:r>
      <w:r w:rsidR="00452110">
        <w:t xml:space="preserve"> has significant</w:t>
      </w:r>
      <w:r>
        <w:t xml:space="preserve"> specification </w:t>
      </w:r>
      <w:r w:rsidR="00452110">
        <w:t>im</w:t>
      </w:r>
      <w:r w:rsidR="00DE29A9">
        <w:t>p</w:t>
      </w:r>
      <w:r w:rsidR="00452110">
        <w:t>act</w:t>
      </w:r>
      <w:r>
        <w:t xml:space="preserve"> while offering no significant performance benefits</w:t>
      </w:r>
      <w:r w:rsidR="00452110">
        <w:t xml:space="preserve">. Since the scope of the WI is likely to be quite large (see </w:t>
      </w:r>
      <w:r w:rsidR="00452110">
        <w:fldChar w:fldCharType="begin"/>
      </w:r>
      <w:r w:rsidR="00452110">
        <w:instrText xml:space="preserve"> REF _Ref531088889 \r \h </w:instrText>
      </w:r>
      <w:r w:rsidR="00452110">
        <w:fldChar w:fldCharType="separate"/>
      </w:r>
      <w:r w:rsidR="00452110">
        <w:t>[3]</w:t>
      </w:r>
      <w:r w:rsidR="00452110">
        <w:fldChar w:fldCharType="end"/>
      </w:r>
      <w:r w:rsidR="00452110">
        <w:t xml:space="preserve">), we </w:t>
      </w:r>
      <w:r w:rsidR="00A459EE">
        <w:t xml:space="preserve">propose to avoid design efforts specific to operating with 60 kHz numerology, e.g., DRS design, design of UL waveform based on sub-PRB interlacing, signalling </w:t>
      </w:r>
      <w:r w:rsidR="00275D91">
        <w:t>modifications</w:t>
      </w:r>
      <w:r w:rsidR="00A459EE">
        <w:t>, etc. In what follows,</w:t>
      </w:r>
      <w:r>
        <w:t xml:space="preserve"> we </w:t>
      </w:r>
      <w:r w:rsidR="003A4D38">
        <w:t>elaborate on these points</w:t>
      </w:r>
      <w:r>
        <w:t>.</w:t>
      </w:r>
    </w:p>
    <w:p w14:paraId="73931A2F" w14:textId="28E3C56E" w:rsidR="00D317A6" w:rsidRDefault="00D317A6" w:rsidP="001570C7">
      <w:pPr>
        <w:pStyle w:val="Heading2"/>
      </w:pPr>
      <w:r>
        <w:t>Delay Spread in Outdoor Deployments</w:t>
      </w:r>
    </w:p>
    <w:p w14:paraId="6D6082DB" w14:textId="6E5220F3" w:rsidR="00D317A6" w:rsidRDefault="008B262B" w:rsidP="001570C7">
      <w:pPr>
        <w:pStyle w:val="BodyText"/>
      </w:pPr>
      <w:r>
        <w:t>Delay</w:t>
      </w:r>
      <w:r w:rsidR="00D317A6">
        <w:t xml:space="preserve"> spreads in outdoor deployments are typically significantly larger than in indoor scenarios. </w:t>
      </w:r>
      <w:proofErr w:type="gramStart"/>
      <w:r w:rsidR="00D317A6">
        <w:t>This places</w:t>
      </w:r>
      <w:proofErr w:type="gramEnd"/>
      <w:r w:rsidR="00D317A6">
        <w:t xml:space="preserve"> a lower bound on the CP duration that should be selected for such deployments. For 30 kHz, the </w:t>
      </w:r>
      <w:r>
        <w:t>duration of the normal cyclic prefix (</w:t>
      </w:r>
      <w:r w:rsidR="00D317A6">
        <w:t>NCP</w:t>
      </w:r>
      <w:r>
        <w:t>)</w:t>
      </w:r>
      <w:r w:rsidR="00D317A6">
        <w:t xml:space="preserve"> is approximately 2.35 us; for 60 kHz it is 1.17 us. For the latter, this means that the maximum differential delay between a direct path and a reflected path should be less than 1.17 us in order to maintain good performance. The RMS delay spread should be even less to ensure that this constraint is fulfilled in an average sense.</w:t>
      </w:r>
      <w:r w:rsidR="003C213A">
        <w:t xml:space="preserve"> </w:t>
      </w:r>
      <w:r w:rsidR="00331518">
        <w:t>Furthermore, t</w:t>
      </w:r>
      <w:r w:rsidR="003C213A">
        <w:t>he CP should also be able to absorb</w:t>
      </w:r>
      <w:r w:rsidR="00331518">
        <w:t xml:space="preserve"> additional sources of delay, e.g., the differences in delay between two transmit or receive chains, group delays in filters, delays due to synchronization differences between multiple UEs transmitting simultaneously on the UL</w:t>
      </w:r>
      <w:r>
        <w:t>,</w:t>
      </w:r>
      <w:r w:rsidR="00331518">
        <w:t xml:space="preserve"> etc.</w:t>
      </w:r>
      <w:r>
        <w:t xml:space="preserve"> T</w:t>
      </w:r>
      <w:r w:rsidR="00331518">
        <w:t>his would be much more challenging with the NCP for 60 kHz.</w:t>
      </w:r>
    </w:p>
    <w:p w14:paraId="2A8904DE" w14:textId="617B9881" w:rsidR="00D317A6" w:rsidRDefault="00D317A6" w:rsidP="001570C7">
      <w:pPr>
        <w:pStyle w:val="BodyText"/>
      </w:pPr>
      <w:r>
        <w:t xml:space="preserve">Based on field measurements at 5 GHz </w:t>
      </w:r>
      <w:r w:rsidR="00C62DF2">
        <w:fldChar w:fldCharType="begin"/>
      </w:r>
      <w:r w:rsidR="00C62DF2">
        <w:instrText xml:space="preserve"> REF _Ref525732218 \r \h </w:instrText>
      </w:r>
      <w:r w:rsidR="00C62DF2">
        <w:fldChar w:fldCharType="separate"/>
      </w:r>
      <w:r w:rsidR="00C62DF2">
        <w:t>[4]</w:t>
      </w:r>
      <w:r w:rsidR="00C62DF2">
        <w:fldChar w:fldCharType="end"/>
      </w:r>
      <w:r>
        <w:t xml:space="preserve"> in which the gNB is placed on the rooftop of a low rise building and the UE is at ground level at varying distances of 90 – 200m receiving reflections from nearby and distant buildings, RMS delay spreads up to 0.7 us have been observed depending on the UE location. Such a deployment is conceivable, for example, in an outdoor mall or urban square type setting. With this level of delay spread, it was observed that the instantaneous time delay easily exceeds the </w:t>
      </w:r>
      <w:r w:rsidR="00932BD7">
        <w:t xml:space="preserve">normal </w:t>
      </w:r>
      <w:r>
        <w:t xml:space="preserve">CP duration for 60 kHz SCS (1.17 us). In </w:t>
      </w:r>
      <w:r w:rsidR="00C62DF2">
        <w:fldChar w:fldCharType="begin"/>
      </w:r>
      <w:r w:rsidR="00C62DF2">
        <w:instrText xml:space="preserve"> REF _Ref525732218 \r \h </w:instrText>
      </w:r>
      <w:r w:rsidR="00C62DF2">
        <w:fldChar w:fldCharType="separate"/>
      </w:r>
      <w:r w:rsidR="00C62DF2">
        <w:t>[4]</w:t>
      </w:r>
      <w:r w:rsidR="00C62DF2">
        <w:fldChar w:fldCharType="end"/>
      </w:r>
      <w:r>
        <w:t xml:space="preserve">, it is shown that with this delay spread, the SINR (due to noise + ISI) drops to less than 15 dB, which can </w:t>
      </w:r>
      <w:r w:rsidR="008B262B">
        <w:t>significantly</w:t>
      </w:r>
      <w:r>
        <w:t xml:space="preserve"> limit </w:t>
      </w:r>
      <w:r w:rsidR="008B262B">
        <w:t>achievable data rates</w:t>
      </w:r>
      <w:r>
        <w:t xml:space="preserve">. Simulated link-level performance with delay spreads in the range of [100, 1000] ns has been evaluated based on the TDL-A channel </w:t>
      </w:r>
      <w:r w:rsidR="00C62DF2">
        <w:fldChar w:fldCharType="begin"/>
      </w:r>
      <w:r w:rsidR="00C62DF2">
        <w:instrText xml:space="preserve"> REF _Ref525734136 \r \h </w:instrText>
      </w:r>
      <w:r w:rsidR="00C62DF2">
        <w:fldChar w:fldCharType="separate"/>
      </w:r>
      <w:r w:rsidR="00C62DF2">
        <w:t>[5]</w:t>
      </w:r>
      <w:r w:rsidR="00C62DF2">
        <w:fldChar w:fldCharType="end"/>
      </w:r>
      <w:r>
        <w:t xml:space="preserve">. From these results one can see that above 500 ns, 60 kHz SCS </w:t>
      </w:r>
      <w:r w:rsidR="008B262B">
        <w:t>with NCP</w:t>
      </w:r>
      <w:r>
        <w:t xml:space="preserve"> suffers a performance loss due to excessive ISI</w:t>
      </w:r>
      <w:r w:rsidR="0033441B">
        <w:t xml:space="preserve">. </w:t>
      </w:r>
      <w:r>
        <w:t>Based on the measurements and simulations referenced here, we observe the following:</w:t>
      </w:r>
    </w:p>
    <w:p w14:paraId="5D4F91E8" w14:textId="7996D44C" w:rsidR="00D317A6" w:rsidRDefault="00D317A6" w:rsidP="00DE41DB">
      <w:pPr>
        <w:pStyle w:val="Observation"/>
      </w:pPr>
      <w:bookmarkStart w:id="1" w:name="_Toc528958084"/>
      <w:bookmarkStart w:id="2" w:name="_Toc531103731"/>
      <w:bookmarkStart w:id="3" w:name="_Toc531105693"/>
      <w:bookmarkStart w:id="4" w:name="_Toc531105718"/>
      <w:bookmarkStart w:id="5" w:name="_Toc531115487"/>
      <w:bookmarkStart w:id="6" w:name="_Toc531115616"/>
      <w:bookmarkStart w:id="7" w:name="_Toc531115623"/>
      <w:bookmarkStart w:id="8" w:name="_Toc531115664"/>
      <w:bookmarkStart w:id="9" w:name="_Toc531296356"/>
      <w:bookmarkStart w:id="10" w:name="_Toc531610949"/>
      <w:r>
        <w:t>30 kHz</w:t>
      </w:r>
      <w:r w:rsidR="008F7909">
        <w:t xml:space="preserve"> </w:t>
      </w:r>
      <w:r w:rsidR="00CA5CA8">
        <w:t>SCS</w:t>
      </w:r>
      <w:r w:rsidR="00932BD7">
        <w:t xml:space="preserve"> </w:t>
      </w:r>
      <w:r>
        <w:t>offers greater deployment flexibility</w:t>
      </w:r>
      <w:bookmarkEnd w:id="1"/>
      <w:r w:rsidR="001570C7">
        <w:t xml:space="preserve"> than 60 kHz + NCP</w:t>
      </w:r>
      <w:bookmarkStart w:id="11" w:name="_Toc528958083"/>
      <w:r w:rsidR="001570C7">
        <w:t>. The latter breaks down for RMS delay spreads larger than 500 ns</w:t>
      </w:r>
      <w:bookmarkEnd w:id="11"/>
      <w:r w:rsidR="001570C7">
        <w:t>, thus limiting peak rates in outdoor deployments.</w:t>
      </w:r>
      <w:bookmarkEnd w:id="2"/>
      <w:bookmarkEnd w:id="3"/>
      <w:bookmarkEnd w:id="4"/>
      <w:bookmarkEnd w:id="5"/>
      <w:bookmarkEnd w:id="6"/>
      <w:bookmarkEnd w:id="7"/>
      <w:bookmarkEnd w:id="8"/>
      <w:bookmarkEnd w:id="9"/>
      <w:bookmarkEnd w:id="10"/>
    </w:p>
    <w:p w14:paraId="5CE2BF8B" w14:textId="77777777" w:rsidR="008B262B" w:rsidRDefault="008B262B" w:rsidP="008B262B">
      <w:pPr>
        <w:pStyle w:val="Heading2"/>
      </w:pPr>
      <w:r>
        <w:lastRenderedPageBreak/>
        <w:t>Blind Detection of Numerology</w:t>
      </w:r>
    </w:p>
    <w:p w14:paraId="01DB128A" w14:textId="77777777" w:rsidR="008B262B" w:rsidRPr="003F490B" w:rsidRDefault="008B262B" w:rsidP="008B262B">
      <w:pPr>
        <w:pStyle w:val="BodyText"/>
        <w:rPr>
          <w:i/>
          <w:lang w:eastAsia="x-none"/>
        </w:rPr>
      </w:pPr>
      <w:r>
        <w:t>During the SI phase, some sources proposed that both 30 kHz and 60 kHz designs for NR-U should be supported in specifications, and that the operator chooses which one to use based on the deployment scenario. This would mean that for standalone deployments, the operating band needs to be defined with both numerologies as candidates. However, it was agreed in RAN1#94b that the UE assumes only a single SSB numerology per band for initial access.</w:t>
      </w:r>
    </w:p>
    <w:p w14:paraId="4C62DFD8" w14:textId="79898A78" w:rsidR="008B262B" w:rsidRDefault="008B262B" w:rsidP="008B262B">
      <w:pPr>
        <w:pStyle w:val="BodyText"/>
      </w:pPr>
      <w:r>
        <w:t>For full deployment flexibility for NR-U, including outdoor scenarios where delay spread can be significant larger, our view is that the single numerology should be 30 kHz + NCP. This is attractive in that it is already supported in specifications today. Another option could be 60 kHz with extended cyclic prefix (ECP) in order to handle larger delay spreads; however, it was agreed in RAN1#95 that ECP for SS/PBCH blocks is not supported for NR-U operation. Furthermore, in NR Rel-15 ECP is optional for data. Considering this, we observe the following:</w:t>
      </w:r>
    </w:p>
    <w:p w14:paraId="083245A7" w14:textId="297AC10D" w:rsidR="008B262B" w:rsidRDefault="008B262B" w:rsidP="008B262B">
      <w:pPr>
        <w:pStyle w:val="Observation"/>
      </w:pPr>
      <w:bookmarkStart w:id="12" w:name="_Toc528958082"/>
      <w:bookmarkStart w:id="13" w:name="_Toc531103730"/>
      <w:bookmarkStart w:id="14" w:name="_Toc531105692"/>
      <w:bookmarkStart w:id="15" w:name="_Toc531105717"/>
      <w:bookmarkStart w:id="16" w:name="_Toc531115486"/>
      <w:bookmarkStart w:id="17" w:name="_Toc531115615"/>
      <w:bookmarkStart w:id="18" w:name="_Toc531115622"/>
      <w:bookmarkStart w:id="19" w:name="_Toc531115663"/>
      <w:bookmarkStart w:id="20" w:name="_Toc531296357"/>
      <w:bookmarkStart w:id="21" w:name="_Toc531610950"/>
      <w:r>
        <w:t>30 kHz</w:t>
      </w:r>
      <w:r w:rsidR="00CA5CA8">
        <w:t xml:space="preserve"> SCS</w:t>
      </w:r>
      <w:r>
        <w:t xml:space="preserve"> for SS/PBCH blocks</w:t>
      </w:r>
      <w:r w:rsidR="008752C4">
        <w:t>,</w:t>
      </w:r>
      <w:r>
        <w:t xml:space="preserve"> which is already supported in NR Rel-15 specifications</w:t>
      </w:r>
      <w:bookmarkEnd w:id="12"/>
      <w:r>
        <w:t>, is the only viable candidate for initial access in a sta</w:t>
      </w:r>
      <w:r w:rsidR="008752C4">
        <w:t>ndalone deployment</w:t>
      </w:r>
      <w:r w:rsidR="00932BD7">
        <w:t>.</w:t>
      </w:r>
      <w:r w:rsidR="008752C4">
        <w:t xml:space="preserve"> </w:t>
      </w:r>
      <w:r w:rsidR="00932BD7">
        <w:t xml:space="preserve">This </w:t>
      </w:r>
      <w:r w:rsidR="008752C4">
        <w:t>ensure</w:t>
      </w:r>
      <w:r w:rsidR="00C66B88">
        <w:t>s that</w:t>
      </w:r>
      <w:r w:rsidR="008752C4">
        <w:t xml:space="preserve"> NR-U </w:t>
      </w:r>
      <w:proofErr w:type="gramStart"/>
      <w:r w:rsidR="008752C4">
        <w:t>is able to</w:t>
      </w:r>
      <w:proofErr w:type="gramEnd"/>
      <w:r w:rsidR="008752C4">
        <w:t xml:space="preserve"> operate in a broad range of deployments</w:t>
      </w:r>
      <w:r>
        <w:t>.</w:t>
      </w:r>
      <w:bookmarkEnd w:id="13"/>
      <w:bookmarkEnd w:id="14"/>
      <w:bookmarkEnd w:id="15"/>
      <w:bookmarkEnd w:id="16"/>
      <w:bookmarkEnd w:id="17"/>
      <w:bookmarkEnd w:id="18"/>
      <w:bookmarkEnd w:id="19"/>
      <w:bookmarkEnd w:id="20"/>
      <w:bookmarkEnd w:id="21"/>
    </w:p>
    <w:p w14:paraId="509D65A5" w14:textId="7FC7C9C0" w:rsidR="00D317A6" w:rsidRDefault="00D317A6" w:rsidP="001570C7">
      <w:pPr>
        <w:pStyle w:val="Heading2"/>
      </w:pPr>
      <w:r>
        <w:t>Channel Access Granularity</w:t>
      </w:r>
    </w:p>
    <w:p w14:paraId="71BD3705" w14:textId="7A4E1180" w:rsidR="0001525B" w:rsidRDefault="008752C4" w:rsidP="001570C7">
      <w:pPr>
        <w:pStyle w:val="BodyText"/>
      </w:pPr>
      <w:r>
        <w:t xml:space="preserve">For NR-U, the channel access granularity can be increased by increasing the subcarrier spacing above the baseline 15 kHz (numerology for LTE-LAA). Considering </w:t>
      </w:r>
      <w:r w:rsidR="0001525B">
        <w:t xml:space="preserve">granularity only, </w:t>
      </w:r>
      <w:r>
        <w:t xml:space="preserve">it may appear at first </w:t>
      </w:r>
      <w:r w:rsidR="00152B0A">
        <w:t>sight</w:t>
      </w:r>
      <w:r>
        <w:t xml:space="preserve"> that 60 kHz</w:t>
      </w:r>
      <w:r w:rsidR="0001525B">
        <w:t xml:space="preserve"> could </w:t>
      </w:r>
      <w:r w:rsidR="00152B0A">
        <w:t>offer</w:t>
      </w:r>
      <w:r w:rsidR="0001525B">
        <w:t xml:space="preserve"> better performance </w:t>
      </w:r>
      <w:r>
        <w:t>for Type A PDSCH/PUSCH mapping</w:t>
      </w:r>
      <w:r w:rsidR="0001525B">
        <w:t xml:space="preserve"> than 30 kHz due to a finer granularity</w:t>
      </w:r>
      <w:r>
        <w:t>. However</w:t>
      </w:r>
      <w:proofErr w:type="gramStart"/>
      <w:r>
        <w:t xml:space="preserve">, in reality, </w:t>
      </w:r>
      <w:r w:rsidRPr="00D76F62">
        <w:t>this</w:t>
      </w:r>
      <w:proofErr w:type="gramEnd"/>
      <w:r w:rsidRPr="00D76F62">
        <w:t xml:space="preserve"> is counteracted by the fact that the spectrum utilization </w:t>
      </w:r>
      <w:r>
        <w:t xml:space="preserve">in a 20 MHz carrier </w:t>
      </w:r>
      <w:r w:rsidRPr="00D76F62">
        <w:t>is lower due to larger guard bands</w:t>
      </w:r>
      <w:r w:rsidR="0001525B">
        <w:t xml:space="preserve"> for 60 kHz</w:t>
      </w:r>
      <w:r w:rsidRPr="00D76F62">
        <w:t xml:space="preserve">. </w:t>
      </w:r>
      <w:r>
        <w:t>Moreover, the use of Type B PDSCH/PUSCH mapping (mini-slots) for 30 kHz offers sufficiently fine granularity</w:t>
      </w:r>
      <w:r w:rsidR="0001525B">
        <w:t xml:space="preserve"> already, without incurring the penalty in overhead.</w:t>
      </w:r>
    </w:p>
    <w:p w14:paraId="71036162" w14:textId="047C3114" w:rsidR="008752C4" w:rsidRDefault="0001525B" w:rsidP="001570C7">
      <w:pPr>
        <w:pStyle w:val="BodyText"/>
      </w:pPr>
      <w:r>
        <w:t xml:space="preserve">It has also been suggested that latency can potentially be reduced if 60 kHz SCS is used. </w:t>
      </w:r>
      <w:r w:rsidRPr="0001525B">
        <w:t xml:space="preserve">However, the HARQ feedback delays for 60 kHz currently in NR </w:t>
      </w:r>
      <w:r>
        <w:t xml:space="preserve">do not </w:t>
      </w:r>
      <w:r w:rsidRPr="0001525B">
        <w:t xml:space="preserve">provide any latency benefit </w:t>
      </w:r>
      <w:r>
        <w:t xml:space="preserve">compared to </w:t>
      </w:r>
      <w:r w:rsidRPr="0001525B">
        <w:t>30 kHz</w:t>
      </w:r>
      <w:r w:rsidR="00152B0A">
        <w:t xml:space="preserve">. Indeed, </w:t>
      </w:r>
      <w:r>
        <w:t>processing time</w:t>
      </w:r>
      <w:r w:rsidRPr="0001525B">
        <w:t xml:space="preserve"> </w:t>
      </w:r>
      <w:r w:rsidR="00152B0A">
        <w:t xml:space="preserve">for both Capability 1 and 2 UEs </w:t>
      </w:r>
      <w:r>
        <w:t xml:space="preserve">roughly </w:t>
      </w:r>
      <w:r w:rsidRPr="0001525B">
        <w:t>double</w:t>
      </w:r>
      <w:r>
        <w:t>s when increasing the SCS from 30 kHz to 60 kHz</w:t>
      </w:r>
      <w:r w:rsidRPr="0001525B">
        <w:t>.</w:t>
      </w:r>
      <w:r>
        <w:t xml:space="preserve"> Furthermore,</w:t>
      </w:r>
      <w:r w:rsidR="00152B0A">
        <w:t xml:space="preserve"> </w:t>
      </w:r>
      <w:r>
        <w:t xml:space="preserve">the impact of the latency reduction on system performance </w:t>
      </w:r>
      <w:r w:rsidR="00152B0A">
        <w:t xml:space="preserve">may </w:t>
      </w:r>
      <w:r>
        <w:t>depend on the type of traffic being carried in the network</w:t>
      </w:r>
      <w:r w:rsidR="00152B0A">
        <w:t>.</w:t>
      </w:r>
    </w:p>
    <w:p w14:paraId="34106B56" w14:textId="5251F269" w:rsidR="00D317A6" w:rsidRDefault="008F0FDE" w:rsidP="001570C7">
      <w:pPr>
        <w:pStyle w:val="BodyText"/>
        <w:rPr>
          <w:lang w:val="en-US"/>
        </w:rPr>
      </w:pPr>
      <w:r>
        <w:rPr>
          <w:lang w:val="en-US"/>
        </w:rPr>
        <w:t>To investigate the various trade-offs, i</w:t>
      </w:r>
      <w:r w:rsidR="0033441B">
        <w:rPr>
          <w:lang w:val="en-US"/>
        </w:rPr>
        <w:t xml:space="preserve">n </w:t>
      </w:r>
      <w:r w:rsidR="0033441B">
        <w:rPr>
          <w:lang w:val="en-US"/>
        </w:rPr>
        <w:fldChar w:fldCharType="begin"/>
      </w:r>
      <w:r w:rsidR="0033441B">
        <w:rPr>
          <w:lang w:val="en-US"/>
        </w:rPr>
        <w:instrText xml:space="preserve"> REF _Ref531097386 \r \h </w:instrText>
      </w:r>
      <w:r w:rsidR="0033441B">
        <w:rPr>
          <w:lang w:val="en-US"/>
        </w:rPr>
      </w:r>
      <w:r w:rsidR="0033441B">
        <w:rPr>
          <w:lang w:val="en-US"/>
        </w:rPr>
        <w:fldChar w:fldCharType="separate"/>
      </w:r>
      <w:r w:rsidR="0033441B">
        <w:rPr>
          <w:lang w:val="en-US"/>
        </w:rPr>
        <w:t>[6]</w:t>
      </w:r>
      <w:r w:rsidR="0033441B">
        <w:rPr>
          <w:lang w:val="en-US"/>
        </w:rPr>
        <w:fldChar w:fldCharType="end"/>
      </w:r>
      <w:r>
        <w:rPr>
          <w:lang w:val="en-US"/>
        </w:rPr>
        <w:t xml:space="preserve"> </w:t>
      </w:r>
      <w:r w:rsidR="00D317A6" w:rsidRPr="00A029A9">
        <w:rPr>
          <w:lang w:val="en-US"/>
        </w:rPr>
        <w:t>we evaluate</w:t>
      </w:r>
      <w:r w:rsidR="001E70D8">
        <w:rPr>
          <w:lang w:val="en-US"/>
        </w:rPr>
        <w:t>d</w:t>
      </w:r>
      <w:r w:rsidR="00D317A6" w:rsidRPr="00A029A9">
        <w:rPr>
          <w:lang w:val="en-US"/>
        </w:rPr>
        <w:t xml:space="preserve"> </w:t>
      </w:r>
      <w:r w:rsidR="00D317A6">
        <w:rPr>
          <w:lang w:val="en-US"/>
        </w:rPr>
        <w:t xml:space="preserve">the performance difference between 15, 30, and 60 kHz </w:t>
      </w:r>
      <w:r w:rsidR="008F7909">
        <w:rPr>
          <w:lang w:val="en-US"/>
        </w:rPr>
        <w:t>in the indoor and outdoor scenarios</w:t>
      </w:r>
      <w:r w:rsidR="00D317A6">
        <w:rPr>
          <w:lang w:val="en-US"/>
        </w:rPr>
        <w:t xml:space="preserve"> agreed for NR-U evaluations</w:t>
      </w:r>
      <w:r w:rsidR="001E70D8">
        <w:rPr>
          <w:lang w:val="en-US"/>
        </w:rPr>
        <w:t xml:space="preserve">. </w:t>
      </w:r>
      <w:r>
        <w:rPr>
          <w:lang w:val="en-US"/>
        </w:rPr>
        <w:t xml:space="preserve">We found that </w:t>
      </w:r>
      <w:r w:rsidR="00152B0A">
        <w:rPr>
          <w:lang w:val="en-US"/>
        </w:rPr>
        <w:t>there is a</w:t>
      </w:r>
      <w:r>
        <w:rPr>
          <w:lang w:val="en-US"/>
        </w:rPr>
        <w:t xml:space="preserve"> minimal difference </w:t>
      </w:r>
      <w:r w:rsidR="00152B0A">
        <w:rPr>
          <w:lang w:val="en-US"/>
        </w:rPr>
        <w:t xml:space="preserve">in mean user throughput </w:t>
      </w:r>
      <w:r>
        <w:rPr>
          <w:lang w:val="en-US"/>
        </w:rPr>
        <w:t>between 30 and 60kHz subcarrier spacing. Most of the gain comes from increasing the SCS from 15 kHz to 30 kHz.</w:t>
      </w:r>
      <w:r w:rsidR="00152B0A">
        <w:rPr>
          <w:lang w:val="en-US"/>
        </w:rPr>
        <w:t xml:space="preserve"> We note that these simulations assumed that the delay spread </w:t>
      </w:r>
      <w:r w:rsidR="00C72066">
        <w:rPr>
          <w:lang w:val="en-US"/>
        </w:rPr>
        <w:t>is</w:t>
      </w:r>
      <w:r w:rsidR="00152B0A">
        <w:rPr>
          <w:lang w:val="en-US"/>
        </w:rPr>
        <w:t xml:space="preserve"> contained within the CP for both 30 and 60 kHz. However, as discussed above, in an outdoor environment it is quite possible that the delay spread exceeds the CP duration for </w:t>
      </w:r>
      <w:r w:rsidR="00C72066">
        <w:rPr>
          <w:lang w:val="en-US"/>
        </w:rPr>
        <w:t xml:space="preserve">the case </w:t>
      </w:r>
      <w:r w:rsidR="00152B0A">
        <w:rPr>
          <w:lang w:val="en-US"/>
        </w:rPr>
        <w:t xml:space="preserve">60 kHz SCS. Hence, in such scenarios, </w:t>
      </w:r>
      <w:r w:rsidR="00C72066">
        <w:rPr>
          <w:lang w:val="en-US"/>
        </w:rPr>
        <w:t xml:space="preserve">the performance with 60 kHz would </w:t>
      </w:r>
      <w:r w:rsidR="00C03A4F">
        <w:rPr>
          <w:lang w:val="en-US"/>
        </w:rPr>
        <w:t>degrade</w:t>
      </w:r>
      <w:r w:rsidR="00C72066">
        <w:rPr>
          <w:lang w:val="en-US"/>
        </w:rPr>
        <w:t>.</w:t>
      </w:r>
    </w:p>
    <w:p w14:paraId="74F291D0" w14:textId="21138258" w:rsidR="00D317A6" w:rsidRDefault="00F411F6" w:rsidP="001570C7">
      <w:pPr>
        <w:pStyle w:val="Observation"/>
        <w:rPr>
          <w:lang w:val="en-US"/>
        </w:rPr>
      </w:pPr>
      <w:bookmarkStart w:id="22" w:name="_Toc528958085"/>
      <w:bookmarkStart w:id="23" w:name="_Toc531103732"/>
      <w:bookmarkStart w:id="24" w:name="_Toc531105694"/>
      <w:bookmarkStart w:id="25" w:name="_Toc531105719"/>
      <w:bookmarkStart w:id="26" w:name="_Toc531115488"/>
      <w:bookmarkStart w:id="27" w:name="_Toc531115617"/>
      <w:bookmarkStart w:id="28" w:name="_Toc531115624"/>
      <w:bookmarkStart w:id="29" w:name="_Toc531115665"/>
      <w:bookmarkStart w:id="30" w:name="_Toc531296358"/>
      <w:bookmarkStart w:id="31" w:name="_Toc531610951"/>
      <w:r>
        <w:rPr>
          <w:lang w:val="en-US"/>
        </w:rPr>
        <w:t>30 kHz SCS offers the best trade-off between channel access granularity and spectrum utilization</w:t>
      </w:r>
      <w:r w:rsidR="00941075">
        <w:rPr>
          <w:lang w:val="en-US"/>
        </w:rPr>
        <w:t xml:space="preserve"> even for deployments where the limited cyclic prefix for 60 kHz is not a factor</w:t>
      </w:r>
      <w:r>
        <w:rPr>
          <w:lang w:val="en-US"/>
        </w:rPr>
        <w:t xml:space="preserve">. </w:t>
      </w:r>
      <w:r w:rsidR="00D317A6">
        <w:rPr>
          <w:lang w:val="en-US"/>
        </w:rPr>
        <w:t xml:space="preserve">The largest </w:t>
      </w:r>
      <w:r>
        <w:rPr>
          <w:lang w:val="en-US"/>
        </w:rPr>
        <w:t>gain in user throughput is achieved by</w:t>
      </w:r>
      <w:r w:rsidR="00D317A6">
        <w:rPr>
          <w:lang w:val="en-US"/>
        </w:rPr>
        <w:t xml:space="preserve"> increasing the SCS from 15 kHz to 30 kHz. Diminishing returns are achieved by increasing further from 30 kHz to 60 kHz.</w:t>
      </w:r>
      <w:bookmarkEnd w:id="22"/>
      <w:bookmarkEnd w:id="23"/>
      <w:bookmarkEnd w:id="24"/>
      <w:bookmarkEnd w:id="25"/>
      <w:bookmarkEnd w:id="26"/>
      <w:bookmarkEnd w:id="27"/>
      <w:bookmarkEnd w:id="28"/>
      <w:bookmarkEnd w:id="29"/>
      <w:bookmarkEnd w:id="30"/>
      <w:bookmarkEnd w:id="31"/>
    </w:p>
    <w:p w14:paraId="18D0D505" w14:textId="092D9F19" w:rsidR="00D317A6" w:rsidRDefault="00D317A6" w:rsidP="001570C7">
      <w:pPr>
        <w:pStyle w:val="Heading2"/>
      </w:pPr>
      <w:r>
        <w:t>Specification Impact</w:t>
      </w:r>
    </w:p>
    <w:p w14:paraId="38D31C7E" w14:textId="06835A79" w:rsidR="00700472" w:rsidRDefault="00700472" w:rsidP="001E70D8">
      <w:pPr>
        <w:pStyle w:val="BodyText"/>
      </w:pPr>
      <w:r>
        <w:t xml:space="preserve">During the SI phase, the specification impact </w:t>
      </w:r>
      <w:r w:rsidR="001E70D8">
        <w:t xml:space="preserve">of supporting various numerology candidates was </w:t>
      </w:r>
      <w:r>
        <w:t>identified (</w:t>
      </w:r>
      <w:r w:rsidR="001E70D8">
        <w:t xml:space="preserve">see </w:t>
      </w:r>
      <w:r>
        <w:fldChar w:fldCharType="begin"/>
      </w:r>
      <w:r>
        <w:instrText xml:space="preserve"> REF _Ref531088864 \r \h </w:instrText>
      </w:r>
      <w:r>
        <w:fldChar w:fldCharType="separate"/>
      </w:r>
      <w:r>
        <w:t>[1]</w:t>
      </w:r>
      <w:r>
        <w:fldChar w:fldCharType="end"/>
      </w:r>
      <w:r w:rsidR="001E70D8">
        <w:t>, Section 7.2.1.2</w:t>
      </w:r>
      <w:r>
        <w:t>)</w:t>
      </w:r>
      <w:r w:rsidR="001E70D8">
        <w:t>.</w:t>
      </w:r>
      <w:r w:rsidR="008F7909">
        <w:t xml:space="preserve"> It was found that</w:t>
      </w:r>
      <w:r>
        <w:t xml:space="preserve"> 60 kHz SCS requires additional PHY design work over and above that required for 15 or 30 kHz</w:t>
      </w:r>
      <w:r w:rsidR="008F7909">
        <w:t xml:space="preserve">: (1) </w:t>
      </w:r>
      <w:r>
        <w:t xml:space="preserve">A UL waveform design </w:t>
      </w:r>
      <w:r w:rsidR="008F7909">
        <w:t xml:space="preserve">for 60 kHz </w:t>
      </w:r>
      <w:r>
        <w:t>based on sub-PRB interlacing requires extensive changes to the Rel-15 specifications, including changes to the fundamental building block of NR (the PRB) which affect</w:t>
      </w:r>
      <w:r w:rsidR="00F8762A">
        <w:t>s</w:t>
      </w:r>
      <w:r>
        <w:t xml:space="preserve"> </w:t>
      </w:r>
      <w:r w:rsidR="00F8762A">
        <w:t xml:space="preserve">both </w:t>
      </w:r>
      <w:r>
        <w:t>reference signal design</w:t>
      </w:r>
      <w:r w:rsidR="00F8762A">
        <w:t xml:space="preserve"> as well as</w:t>
      </w:r>
      <w:r>
        <w:t xml:space="preserve"> resource allocation schemes.</w:t>
      </w:r>
      <w:r w:rsidR="008F7909">
        <w:t xml:space="preserve"> (2)</w:t>
      </w:r>
      <w:r>
        <w:t xml:space="preserve"> Design of a DRS for 60 kHz SCS requires revisiting the SS/PBCH block time </w:t>
      </w:r>
      <w:r w:rsidR="00F8762A">
        <w:t>domain</w:t>
      </w:r>
      <w:r>
        <w:t xml:space="preserve"> patterns and SS/PBCH block to CORESET configuration tables. </w:t>
      </w:r>
      <w:r w:rsidR="008F7909">
        <w:t>(3) Signaling</w:t>
      </w:r>
      <w:r>
        <w:t xml:space="preserve"> changes are needed to indicate the RACH configuration if 60 kHz is supported in addition to 15 and 30 kHz SCS. </w:t>
      </w:r>
      <w:r w:rsidR="001570C7">
        <w:t>Additional</w:t>
      </w:r>
      <w:r>
        <w:t xml:space="preserve"> signalling design changes </w:t>
      </w:r>
      <w:r w:rsidR="001570C7">
        <w:t xml:space="preserve">to support NSA operation </w:t>
      </w:r>
      <w:r>
        <w:t xml:space="preserve">were discussed in the SI phase </w:t>
      </w:r>
      <w:r w:rsidR="001570C7">
        <w:t>as well.</w:t>
      </w:r>
    </w:p>
    <w:p w14:paraId="5BD92B87" w14:textId="17778004" w:rsidR="001570C7" w:rsidRDefault="001570C7" w:rsidP="001570C7">
      <w:pPr>
        <w:pStyle w:val="Observation"/>
      </w:pPr>
      <w:bookmarkStart w:id="32" w:name="_Toc531103733"/>
      <w:bookmarkStart w:id="33" w:name="_Toc531105695"/>
      <w:bookmarkStart w:id="34" w:name="_Toc531105720"/>
      <w:bookmarkStart w:id="35" w:name="_Toc531115489"/>
      <w:bookmarkStart w:id="36" w:name="_Toc531115618"/>
      <w:bookmarkStart w:id="37" w:name="_Toc531115625"/>
      <w:bookmarkStart w:id="38" w:name="_Toc531115666"/>
      <w:bookmarkStart w:id="39" w:name="_Toc531296359"/>
      <w:bookmarkStart w:id="40" w:name="_Toc531610952"/>
      <w:r>
        <w:t xml:space="preserve">Support for 60 kHz </w:t>
      </w:r>
      <w:r w:rsidR="000B0C0B">
        <w:t xml:space="preserve">SCS </w:t>
      </w:r>
      <w:r>
        <w:t xml:space="preserve">for NR-U requires extensive </w:t>
      </w:r>
      <w:r w:rsidR="00E77D16">
        <w:t xml:space="preserve">RAN1 </w:t>
      </w:r>
      <w:r>
        <w:t>specification effort</w:t>
      </w:r>
      <w:bookmarkEnd w:id="32"/>
      <w:bookmarkEnd w:id="33"/>
      <w:bookmarkEnd w:id="34"/>
      <w:bookmarkEnd w:id="35"/>
      <w:bookmarkEnd w:id="36"/>
      <w:bookmarkEnd w:id="37"/>
      <w:bookmarkEnd w:id="38"/>
      <w:bookmarkEnd w:id="39"/>
      <w:bookmarkEnd w:id="40"/>
    </w:p>
    <w:p w14:paraId="024286D5" w14:textId="078503F8" w:rsidR="001570C7" w:rsidRDefault="001570C7" w:rsidP="001570C7">
      <w:pPr>
        <w:pStyle w:val="BodyText"/>
      </w:pPr>
      <w:r>
        <w:t xml:space="preserve">Based on the </w:t>
      </w:r>
      <w:r w:rsidR="00F8762A">
        <w:t>observations made in the previous sections</w:t>
      </w:r>
    </w:p>
    <w:p w14:paraId="3E7E9056" w14:textId="1E990A74" w:rsidR="00D317A6" w:rsidRDefault="008F7909" w:rsidP="00D317A6">
      <w:pPr>
        <w:pStyle w:val="Proposal"/>
        <w:tabs>
          <w:tab w:val="clear" w:pos="1304"/>
        </w:tabs>
        <w:ind w:left="1701" w:hanging="1701"/>
      </w:pPr>
      <w:bookmarkStart w:id="41" w:name="_Toc528958088"/>
      <w:bookmarkStart w:id="42" w:name="_Toc531103239"/>
      <w:bookmarkStart w:id="43" w:name="_Toc531103251"/>
      <w:bookmarkStart w:id="44" w:name="_Toc531103355"/>
      <w:bookmarkStart w:id="45" w:name="_Toc531103401"/>
      <w:bookmarkStart w:id="46" w:name="_Toc531105541"/>
      <w:bookmarkStart w:id="47" w:name="_Toc531113181"/>
      <w:bookmarkStart w:id="48" w:name="_Toc531115481"/>
      <w:bookmarkStart w:id="49" w:name="_Toc531115578"/>
      <w:bookmarkStart w:id="50" w:name="_Toc531115670"/>
      <w:bookmarkStart w:id="51" w:name="_Toc531296363"/>
      <w:bookmarkStart w:id="52" w:name="_Toc531296486"/>
      <w:bookmarkStart w:id="53" w:name="_Toc531610956"/>
      <w:r>
        <w:lastRenderedPageBreak/>
        <w:t xml:space="preserve">15 and </w:t>
      </w:r>
      <w:r w:rsidR="00D317A6">
        <w:t>30 kHz</w:t>
      </w:r>
      <w:r>
        <w:t xml:space="preserve"> </w:t>
      </w:r>
      <w:r w:rsidR="00CA5CA8">
        <w:t xml:space="preserve">SCS </w:t>
      </w:r>
      <w:r>
        <w:t>are</w:t>
      </w:r>
      <w:r w:rsidR="00D317A6">
        <w:t xml:space="preserve"> prioritized for NR-U PHY layer channel design and PHY layer procedure design.</w:t>
      </w:r>
      <w:bookmarkEnd w:id="41"/>
      <w:r w:rsidR="001570C7">
        <w:t xml:space="preserve"> 60 kHz </w:t>
      </w:r>
      <w:r w:rsidR="00F8762A">
        <w:t xml:space="preserve">SCS </w:t>
      </w:r>
      <w:r w:rsidR="001570C7">
        <w:t>is deprioritized during the WI.</w:t>
      </w:r>
      <w:bookmarkEnd w:id="42"/>
      <w:bookmarkEnd w:id="43"/>
      <w:bookmarkEnd w:id="44"/>
      <w:bookmarkEnd w:id="45"/>
      <w:bookmarkEnd w:id="46"/>
      <w:bookmarkEnd w:id="47"/>
      <w:bookmarkEnd w:id="48"/>
      <w:bookmarkEnd w:id="49"/>
      <w:bookmarkEnd w:id="50"/>
      <w:bookmarkEnd w:id="51"/>
      <w:bookmarkEnd w:id="52"/>
      <w:bookmarkEnd w:id="53"/>
    </w:p>
    <w:p w14:paraId="5AD775CF" w14:textId="78329956" w:rsidR="00780A21" w:rsidRDefault="00780A21" w:rsidP="001570C7">
      <w:pPr>
        <w:pStyle w:val="Heading1"/>
      </w:pPr>
      <w:r>
        <w:t>Wideband Operation for NR-U</w:t>
      </w:r>
    </w:p>
    <w:p w14:paraId="37FD2D3C" w14:textId="623C2038" w:rsidR="003B0504" w:rsidRDefault="003B0504" w:rsidP="008F7909">
      <w:r>
        <w:t>During the SI, it was identified that wideband operation (&gt; 20 MHz) can be supported through two different approaches:</w:t>
      </w:r>
    </w:p>
    <w:p w14:paraId="5A020274" w14:textId="77777777" w:rsidR="003B0504" w:rsidRPr="003B0504" w:rsidRDefault="003B0504" w:rsidP="003B0504">
      <w:pPr>
        <w:spacing w:after="0"/>
        <w:ind w:left="284"/>
        <w:rPr>
          <w:rFonts w:eastAsia="Malgun Gothic"/>
          <w:i/>
          <w:lang w:eastAsia="ko-KR"/>
        </w:rPr>
      </w:pPr>
      <w:bookmarkStart w:id="54" w:name="_Hlk531103622"/>
      <w:r w:rsidRPr="003B0504">
        <w:rPr>
          <w:rFonts w:eastAsia="Malgun Gothic" w:hint="eastAsia"/>
          <w:i/>
          <w:lang w:eastAsia="ko-KR"/>
        </w:rPr>
        <w:t>For</w:t>
      </w:r>
      <w:r w:rsidRPr="003B0504">
        <w:rPr>
          <w:rFonts w:eastAsia="Malgun Gothic"/>
          <w:i/>
          <w:lang w:eastAsia="ko-KR"/>
        </w:rPr>
        <w:t xml:space="preserve"> wideband operation for both DL and UL,</w:t>
      </w:r>
    </w:p>
    <w:p w14:paraId="1A25092A" w14:textId="77777777" w:rsidR="003B0504" w:rsidRPr="003B0504" w:rsidRDefault="003B0504" w:rsidP="003B0504">
      <w:pPr>
        <w:pStyle w:val="B1"/>
        <w:numPr>
          <w:ilvl w:val="0"/>
          <w:numId w:val="45"/>
        </w:numPr>
        <w:overflowPunct/>
        <w:autoSpaceDE/>
        <w:autoSpaceDN/>
        <w:adjustRightInd/>
        <w:spacing w:after="0"/>
        <w:ind w:left="928"/>
        <w:textAlignment w:val="auto"/>
        <w:rPr>
          <w:i/>
          <w:lang w:val="en-US"/>
        </w:rPr>
      </w:pPr>
      <w:r w:rsidRPr="003B0504">
        <w:rPr>
          <w:rFonts w:hint="eastAsia"/>
          <w:i/>
          <w:lang w:val="en-US"/>
        </w:rPr>
        <w:t>Bandwidth larger than 20 MHz can be supported with multiple serving cells.</w:t>
      </w:r>
    </w:p>
    <w:p w14:paraId="19DD4EC0" w14:textId="77777777" w:rsidR="003B0504" w:rsidRPr="003B0504" w:rsidRDefault="003B0504" w:rsidP="003B0504">
      <w:pPr>
        <w:pStyle w:val="B1"/>
        <w:numPr>
          <w:ilvl w:val="0"/>
          <w:numId w:val="45"/>
        </w:numPr>
        <w:overflowPunct/>
        <w:autoSpaceDE/>
        <w:autoSpaceDN/>
        <w:adjustRightInd/>
        <w:spacing w:after="0"/>
        <w:ind w:left="928"/>
        <w:textAlignment w:val="auto"/>
        <w:rPr>
          <w:i/>
          <w:lang w:val="en-US"/>
        </w:rPr>
      </w:pPr>
      <w:r w:rsidRPr="003B0504">
        <w:rPr>
          <w:i/>
          <w:lang w:val="en-US"/>
        </w:rPr>
        <w:t xml:space="preserve">NR-U should support that a serving cell can be configured with bandwidth larger than 20 </w:t>
      </w:r>
      <w:proofErr w:type="spellStart"/>
      <w:r w:rsidRPr="003B0504">
        <w:rPr>
          <w:i/>
          <w:lang w:val="en-US"/>
        </w:rPr>
        <w:t>MHz.</w:t>
      </w:r>
      <w:proofErr w:type="spellEnd"/>
      <w:r w:rsidRPr="003B0504">
        <w:rPr>
          <w:i/>
          <w:lang w:val="en-US"/>
        </w:rPr>
        <w:t xml:space="preserve"> </w:t>
      </w:r>
    </w:p>
    <w:bookmarkEnd w:id="54"/>
    <w:p w14:paraId="2078EBFD" w14:textId="37ACE06E" w:rsidR="003B0504" w:rsidRDefault="003B0504" w:rsidP="008F7909"/>
    <w:p w14:paraId="7E2ABEDD" w14:textId="7AFF3BDD" w:rsidR="003B0504" w:rsidRDefault="003B0504" w:rsidP="008F7909">
      <w:r>
        <w:t xml:space="preserve">The first approach (multiple 20 MHz serving cells) is the same as for LTE-LAA </w:t>
      </w:r>
      <w:r w:rsidR="006B0857">
        <w:t>for which</w:t>
      </w:r>
      <w:r>
        <w:t xml:space="preserve"> RF requirements were developed </w:t>
      </w:r>
      <w:r w:rsidR="006B0857">
        <w:t>for both contiguous and non-contiguous carriers. The second</w:t>
      </w:r>
      <w:r w:rsidR="00C03A4F">
        <w:t xml:space="preserve"> </w:t>
      </w:r>
      <w:r w:rsidR="006B0857">
        <w:t>approach</w:t>
      </w:r>
      <w:r w:rsidR="00C03A4F">
        <w:t xml:space="preserve"> (serving cell with bandwidth &gt; 20 MHz)</w:t>
      </w:r>
      <w:r w:rsidR="006B0857">
        <w:t xml:space="preserve">, however, may introduce complications since it was agreed that listen-before-talk (LBT) is performed in units of 20 MHz, where each unit is referred to as an LBT sub-band. If LBT fails in one or more LBT sub-bands, there is the possibility of non-contiguous transmission/reception </w:t>
      </w:r>
      <w:r w:rsidR="006B0857" w:rsidRPr="006B0857">
        <w:rPr>
          <w:i/>
        </w:rPr>
        <w:t>within</w:t>
      </w:r>
      <w:r w:rsidR="006B0857">
        <w:t xml:space="preserve"> a carrier, as illustrated in </w:t>
      </w:r>
      <w:r w:rsidR="006B0857">
        <w:fldChar w:fldCharType="begin"/>
      </w:r>
      <w:r w:rsidR="006B0857">
        <w:instrText xml:space="preserve"> REF _Ref531104662 \h </w:instrText>
      </w:r>
      <w:r w:rsidR="006B0857">
        <w:fldChar w:fldCharType="separate"/>
      </w:r>
      <w:r w:rsidR="006B0857" w:rsidRPr="003902CB">
        <w:rPr>
          <w:rFonts w:cs="Arial"/>
        </w:rPr>
        <w:t xml:space="preserve">Figure </w:t>
      </w:r>
      <w:r w:rsidR="006B0857" w:rsidRPr="003902CB">
        <w:rPr>
          <w:rFonts w:cs="Arial"/>
          <w:noProof/>
        </w:rPr>
        <w:t>1</w:t>
      </w:r>
      <w:r w:rsidR="006B0857">
        <w:fldChar w:fldCharType="end"/>
      </w:r>
      <w:r w:rsidR="006B0857">
        <w:t>.</w:t>
      </w:r>
      <w:r w:rsidR="009D4A50">
        <w:t xml:space="preserve"> The parts of the carrier where LBT failed may have ongoing transmissions from other nodes either in the same network or in other networks.</w:t>
      </w:r>
      <w:r w:rsidR="006B0857">
        <w:t xml:space="preserve"> RAN4 has started to consider this issue and has identified that if this transmission mode is allowed, then new in-carrier RF requirements may need to be developed (see RAN4 LS reply in </w:t>
      </w:r>
      <w:r w:rsidR="006B0857">
        <w:fldChar w:fldCharType="begin"/>
      </w:r>
      <w:r w:rsidR="006B0857">
        <w:instrText xml:space="preserve"> REF _Ref531104501 \r \h </w:instrText>
      </w:r>
      <w:r w:rsidR="006B0857">
        <w:fldChar w:fldCharType="separate"/>
      </w:r>
      <w:r w:rsidR="006B0857">
        <w:t>[7]</w:t>
      </w:r>
      <w:r w:rsidR="006B0857">
        <w:fldChar w:fldCharType="end"/>
      </w:r>
      <w:r w:rsidR="006B0857">
        <w:t>).</w:t>
      </w:r>
    </w:p>
    <w:p w14:paraId="7523ECE5" w14:textId="77777777" w:rsidR="006B0857" w:rsidRDefault="006B0857" w:rsidP="006B0857">
      <w:pPr>
        <w:keepNext/>
        <w:jc w:val="center"/>
      </w:pPr>
      <w:r>
        <w:rPr>
          <w:noProof/>
        </w:rPr>
        <w:drawing>
          <wp:inline distT="0" distB="0" distL="0" distR="0" wp14:anchorId="1529FD33" wp14:editId="06E35696">
            <wp:extent cx="4572000" cy="26243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624328"/>
                    </a:xfrm>
                    <a:prstGeom prst="rect">
                      <a:avLst/>
                    </a:prstGeom>
                    <a:noFill/>
                  </pic:spPr>
                </pic:pic>
              </a:graphicData>
            </a:graphic>
          </wp:inline>
        </w:drawing>
      </w:r>
    </w:p>
    <w:p w14:paraId="650E6ACB" w14:textId="59138304" w:rsidR="006B0857" w:rsidRPr="006B0857" w:rsidRDefault="006B0857" w:rsidP="006B0857">
      <w:pPr>
        <w:pStyle w:val="Caption"/>
        <w:rPr>
          <w:rFonts w:cs="Arial"/>
          <w:lang w:eastAsia="en-GB"/>
        </w:rPr>
      </w:pPr>
      <w:bookmarkStart w:id="55" w:name="_Ref531104662"/>
      <w:r w:rsidRPr="003902CB">
        <w:rPr>
          <w:rFonts w:cs="Arial"/>
        </w:rPr>
        <w:t xml:space="preserve">Figure </w:t>
      </w:r>
      <w:r w:rsidRPr="003902CB">
        <w:rPr>
          <w:rFonts w:cs="Arial"/>
        </w:rPr>
        <w:fldChar w:fldCharType="begin"/>
      </w:r>
      <w:r w:rsidRPr="003902CB">
        <w:rPr>
          <w:rFonts w:cs="Arial"/>
        </w:rPr>
        <w:instrText xml:space="preserve"> SEQ Figure \* ARABIC </w:instrText>
      </w:r>
      <w:r w:rsidRPr="003902CB">
        <w:rPr>
          <w:rFonts w:cs="Arial"/>
        </w:rPr>
        <w:fldChar w:fldCharType="separate"/>
      </w:r>
      <w:r w:rsidRPr="003902CB">
        <w:rPr>
          <w:rFonts w:cs="Arial"/>
          <w:noProof/>
        </w:rPr>
        <w:t>1</w:t>
      </w:r>
      <w:r w:rsidRPr="003902CB">
        <w:rPr>
          <w:rFonts w:cs="Arial"/>
        </w:rPr>
        <w:fldChar w:fldCharType="end"/>
      </w:r>
      <w:bookmarkEnd w:id="55"/>
      <w:r w:rsidRPr="003902CB">
        <w:rPr>
          <w:rFonts w:cs="Arial"/>
        </w:rPr>
        <w:t xml:space="preserve">: </w:t>
      </w:r>
      <w:r>
        <w:rPr>
          <w:rFonts w:cs="Arial"/>
        </w:rPr>
        <w:t>W</w:t>
      </w:r>
      <w:r w:rsidRPr="003902CB">
        <w:rPr>
          <w:rFonts w:cs="Arial"/>
        </w:rPr>
        <w:t>ideband carrier operation for NR-U</w:t>
      </w:r>
      <w:r>
        <w:rPr>
          <w:rFonts w:cs="Arial"/>
        </w:rPr>
        <w:t xml:space="preserve"> with LBT performed on a 20 MHz basis in each “LBT sub-band.” In this example, LBT fails in 1 out of 4 defined LBT sub-bands.</w:t>
      </w:r>
    </w:p>
    <w:p w14:paraId="2417AFA0" w14:textId="461780F9" w:rsidR="008E7B70" w:rsidRDefault="006B0857" w:rsidP="008E7B70">
      <w:r>
        <w:t xml:space="preserve">Within RAN1, several different options have been identified to enable the </w:t>
      </w:r>
      <w:r w:rsidR="00C03A4F">
        <w:t>wideband carrier approach</w:t>
      </w:r>
      <w:r>
        <w:t xml:space="preserve"> (</w:t>
      </w:r>
      <w:r w:rsidR="00754930">
        <w:t xml:space="preserve">see </w:t>
      </w:r>
      <w:r w:rsidR="00754930">
        <w:fldChar w:fldCharType="begin"/>
      </w:r>
      <w:r w:rsidR="00754930">
        <w:instrText xml:space="preserve"> REF _Ref531088864 \r \h </w:instrText>
      </w:r>
      <w:r w:rsidR="00754930">
        <w:fldChar w:fldCharType="separate"/>
      </w:r>
      <w:r w:rsidR="00754930">
        <w:t>[1]</w:t>
      </w:r>
      <w:r w:rsidR="00754930">
        <w:fldChar w:fldCharType="end"/>
      </w:r>
      <w:r w:rsidR="00754930">
        <w:t>, Section 7.2.1.1). Two of the options are based on the definition of multiple active bandwidth parts (BWP), e.g., one active BWP per LBT sub-band. This is a non-</w:t>
      </w:r>
      <w:r w:rsidR="00C03A4F">
        <w:t>trivial</w:t>
      </w:r>
      <w:r w:rsidR="00754930">
        <w:t xml:space="preserve"> extension of NR-Rel-15 where only a single active BWP is supported</w:t>
      </w:r>
      <w:r w:rsidR="00C03A4F">
        <w:t>. Moreover, the potential benefits of such an extension are far from clear</w:t>
      </w:r>
      <w:r w:rsidR="008E7B70">
        <w:t>.</w:t>
      </w:r>
    </w:p>
    <w:p w14:paraId="377FECAC" w14:textId="2CCD81B5" w:rsidR="00754930" w:rsidRDefault="00754930" w:rsidP="008E7B70">
      <w:pPr>
        <w:rPr>
          <w:rStyle w:val="BodyTextChar"/>
          <w:lang w:eastAsia="en-US"/>
        </w:rPr>
      </w:pPr>
      <w:r>
        <w:rPr>
          <w:rStyle w:val="BodyTextChar"/>
          <w:lang w:eastAsia="en-US"/>
        </w:rPr>
        <w:t xml:space="preserve">In </w:t>
      </w:r>
      <w:r>
        <w:rPr>
          <w:rStyle w:val="BodyTextChar"/>
          <w:lang w:eastAsia="en-US"/>
        </w:rPr>
        <w:fldChar w:fldCharType="begin"/>
      </w:r>
      <w:r>
        <w:rPr>
          <w:rStyle w:val="BodyTextChar"/>
          <w:lang w:eastAsia="en-US"/>
        </w:rPr>
        <w:instrText xml:space="preserve"> REF _Ref528951568 \r \h </w:instrText>
      </w:r>
      <w:r>
        <w:rPr>
          <w:rStyle w:val="BodyTextChar"/>
          <w:lang w:eastAsia="en-US"/>
        </w:rPr>
      </w:r>
      <w:r>
        <w:rPr>
          <w:rStyle w:val="BodyTextChar"/>
          <w:lang w:eastAsia="en-US"/>
        </w:rPr>
        <w:fldChar w:fldCharType="separate"/>
      </w:r>
      <w:r>
        <w:rPr>
          <w:rStyle w:val="BodyTextChar"/>
          <w:lang w:eastAsia="en-US"/>
        </w:rPr>
        <w:t>[8]</w:t>
      </w:r>
      <w:r>
        <w:rPr>
          <w:rStyle w:val="BodyTextChar"/>
          <w:lang w:eastAsia="en-US"/>
        </w:rPr>
        <w:fldChar w:fldCharType="end"/>
      </w:r>
      <w:r>
        <w:rPr>
          <w:rStyle w:val="BodyTextChar"/>
          <w:lang w:eastAsia="en-US"/>
        </w:rPr>
        <w:t xml:space="preserve">, we </w:t>
      </w:r>
      <w:proofErr w:type="spellStart"/>
      <w:r>
        <w:rPr>
          <w:rStyle w:val="BodyTextChar"/>
          <w:lang w:eastAsia="en-US"/>
        </w:rPr>
        <w:t>analyze</w:t>
      </w:r>
      <w:proofErr w:type="spellEnd"/>
      <w:r>
        <w:rPr>
          <w:rStyle w:val="BodyTextChar"/>
          <w:lang w:eastAsia="en-US"/>
        </w:rPr>
        <w:t xml:space="preserve"> the impact of </w:t>
      </w:r>
      <w:r w:rsidR="009D40C7">
        <w:rPr>
          <w:rStyle w:val="BodyTextChar"/>
          <w:lang w:eastAsia="en-US"/>
        </w:rPr>
        <w:t>supporting</w:t>
      </w:r>
      <w:r w:rsidR="00C03A4F">
        <w:rPr>
          <w:rStyle w:val="BodyTextChar"/>
          <w:lang w:eastAsia="en-US"/>
        </w:rPr>
        <w:t xml:space="preserve"> </w:t>
      </w:r>
      <w:r>
        <w:rPr>
          <w:rStyle w:val="BodyTextChar"/>
          <w:lang w:eastAsia="en-US"/>
        </w:rPr>
        <w:t>multiple active BWPs. First</w:t>
      </w:r>
      <w:r w:rsidR="00011B48">
        <w:rPr>
          <w:rStyle w:val="BodyTextChar"/>
          <w:lang w:eastAsia="en-US"/>
        </w:rPr>
        <w:t>,</w:t>
      </w:r>
      <w:r>
        <w:rPr>
          <w:rStyle w:val="BodyTextChar"/>
          <w:lang w:eastAsia="en-US"/>
        </w:rPr>
        <w:t xml:space="preserve"> we note that in NR licensed and LTE LAA, one HARQ entity is maintained per serving cell/carrier. Hence, one way to support multiple active BWPs is that a single HARQ entity for the wideband carrier is shared amongst the all active BWPs; however, in that case the HARQ process ID space would be limited. An alternative approach would be to maintain a single HARQ entity per active BWP. This requires significant RAN2 standardization effort and carries the risk of breaking backward compatibility. We note that additional complexity is incurred in managing HARQ operation if HARQ retransmissions across active BWPs is allowed. Another area which would be significantly impacted by support for multiple active BWPs is power control. If NR-U were to support multiple active BWPs, it may be necessary to support </w:t>
      </w:r>
      <w:r w:rsidR="009D40C7">
        <w:rPr>
          <w:rStyle w:val="BodyTextChar"/>
          <w:lang w:eastAsia="en-US"/>
        </w:rPr>
        <w:t>power headroom (</w:t>
      </w:r>
      <w:r>
        <w:rPr>
          <w:rStyle w:val="BodyTextChar"/>
          <w:lang w:eastAsia="en-US"/>
        </w:rPr>
        <w:t>PHR</w:t>
      </w:r>
      <w:r w:rsidR="009D40C7">
        <w:rPr>
          <w:rStyle w:val="BodyTextChar"/>
          <w:lang w:eastAsia="en-US"/>
        </w:rPr>
        <w:t xml:space="preserve">) </w:t>
      </w:r>
      <w:r>
        <w:rPr>
          <w:rStyle w:val="BodyTextChar"/>
          <w:lang w:eastAsia="en-US"/>
        </w:rPr>
        <w:t xml:space="preserve">per BWP since the existing PHR framework per serving cell cannot precisely reflect the power headroom for each BWP.  This would require substantial efforts for both RAN1 and RAN2. Additional aspects that RAN2 would need to consider are listed in </w:t>
      </w:r>
      <w:r>
        <w:rPr>
          <w:rStyle w:val="BodyTextChar"/>
          <w:lang w:eastAsia="en-US"/>
        </w:rPr>
        <w:fldChar w:fldCharType="begin"/>
      </w:r>
      <w:r>
        <w:rPr>
          <w:rStyle w:val="BodyTextChar"/>
          <w:lang w:eastAsia="en-US"/>
        </w:rPr>
        <w:instrText xml:space="preserve"> REF _Ref528951568 \r \h </w:instrText>
      </w:r>
      <w:r>
        <w:rPr>
          <w:rStyle w:val="BodyTextChar"/>
          <w:lang w:eastAsia="en-US"/>
        </w:rPr>
      </w:r>
      <w:r>
        <w:rPr>
          <w:rStyle w:val="BodyTextChar"/>
          <w:lang w:eastAsia="en-US"/>
        </w:rPr>
        <w:fldChar w:fldCharType="separate"/>
      </w:r>
      <w:r>
        <w:rPr>
          <w:rStyle w:val="BodyTextChar"/>
          <w:lang w:eastAsia="en-US"/>
        </w:rPr>
        <w:t>[8]</w:t>
      </w:r>
      <w:r>
        <w:rPr>
          <w:rStyle w:val="BodyTextChar"/>
          <w:lang w:eastAsia="en-US"/>
        </w:rPr>
        <w:fldChar w:fldCharType="end"/>
      </w:r>
      <w:r>
        <w:rPr>
          <w:rStyle w:val="BodyTextChar"/>
          <w:lang w:eastAsia="en-US"/>
        </w:rPr>
        <w:t>.</w:t>
      </w:r>
    </w:p>
    <w:p w14:paraId="13E80A4A" w14:textId="2EC05BD0" w:rsidR="00754930" w:rsidRDefault="00754930" w:rsidP="00754930">
      <w:pPr>
        <w:pStyle w:val="BodyText"/>
      </w:pPr>
      <w:r>
        <w:lastRenderedPageBreak/>
        <w:t xml:space="preserve">In summary, RAN2 would need to </w:t>
      </w:r>
      <w:r w:rsidR="009D40C7">
        <w:t>ex</w:t>
      </w:r>
      <w:r>
        <w:t>pend</w:t>
      </w:r>
      <w:r w:rsidR="009D40C7">
        <w:t xml:space="preserve"> significant </w:t>
      </w:r>
      <w:r>
        <w:t xml:space="preserve">effort to specify functions which are already feasible/supported within the carrier aggregation framework. </w:t>
      </w:r>
    </w:p>
    <w:p w14:paraId="507F74D7" w14:textId="7EA36095" w:rsidR="00E77D16" w:rsidRDefault="00E77D16" w:rsidP="00E77D16">
      <w:pPr>
        <w:pStyle w:val="Observation"/>
      </w:pPr>
      <w:bookmarkStart w:id="56" w:name="_Toc531105696"/>
      <w:bookmarkStart w:id="57" w:name="_Toc531105721"/>
      <w:bookmarkStart w:id="58" w:name="_Toc531115490"/>
      <w:bookmarkStart w:id="59" w:name="_Toc531115619"/>
      <w:bookmarkStart w:id="60" w:name="_Toc531115626"/>
      <w:bookmarkStart w:id="61" w:name="_Toc531115667"/>
      <w:bookmarkStart w:id="62" w:name="_Toc531296360"/>
      <w:bookmarkStart w:id="63" w:name="_Toc531610953"/>
      <w:r>
        <w:t>Multiple active BWPs has significant RAN2 specification impact.</w:t>
      </w:r>
      <w:bookmarkEnd w:id="56"/>
      <w:bookmarkEnd w:id="57"/>
      <w:bookmarkEnd w:id="58"/>
      <w:bookmarkEnd w:id="59"/>
      <w:bookmarkEnd w:id="60"/>
      <w:bookmarkEnd w:id="61"/>
      <w:bookmarkEnd w:id="62"/>
      <w:bookmarkEnd w:id="63"/>
    </w:p>
    <w:p w14:paraId="63AA81A6" w14:textId="736CB0CA" w:rsidR="008E7B70" w:rsidRPr="00E77D16" w:rsidRDefault="00754930" w:rsidP="00E77D16">
      <w:pPr>
        <w:pStyle w:val="Proposal"/>
        <w:tabs>
          <w:tab w:val="clear" w:pos="1304"/>
        </w:tabs>
        <w:ind w:left="1701" w:hanging="1701"/>
      </w:pPr>
      <w:bookmarkStart w:id="64" w:name="_Toc528958091"/>
      <w:bookmarkStart w:id="65" w:name="_Toc531105542"/>
      <w:bookmarkStart w:id="66" w:name="_Toc531113182"/>
      <w:bookmarkStart w:id="67" w:name="_Toc531115482"/>
      <w:bookmarkStart w:id="68" w:name="_Toc531115579"/>
      <w:bookmarkStart w:id="69" w:name="_Toc531115671"/>
      <w:bookmarkStart w:id="70" w:name="_Toc531296364"/>
      <w:bookmarkStart w:id="71" w:name="_Toc531296487"/>
      <w:bookmarkStart w:id="72" w:name="_Toc531610957"/>
      <w:r w:rsidRPr="00E77D16">
        <w:t>Multiple active BWPs are</w:t>
      </w:r>
      <w:r w:rsidR="009D4A50">
        <w:t xml:space="preserve"> excluded from the WI scope</w:t>
      </w:r>
      <w:bookmarkEnd w:id="64"/>
      <w:r w:rsidR="008E7B70" w:rsidRPr="00E77D16">
        <w:t>.</w:t>
      </w:r>
      <w:bookmarkEnd w:id="65"/>
      <w:bookmarkEnd w:id="66"/>
      <w:bookmarkEnd w:id="67"/>
      <w:bookmarkEnd w:id="68"/>
      <w:bookmarkEnd w:id="69"/>
      <w:bookmarkEnd w:id="70"/>
      <w:bookmarkEnd w:id="71"/>
      <w:bookmarkEnd w:id="72"/>
    </w:p>
    <w:p w14:paraId="1AB72A7E" w14:textId="3D6150FF" w:rsidR="00780A21" w:rsidRDefault="00780A21" w:rsidP="001570C7">
      <w:pPr>
        <w:pStyle w:val="Heading1"/>
      </w:pPr>
      <w:r>
        <w:t>Technology Neutral Channel Access for 6 GHz Band</w:t>
      </w:r>
    </w:p>
    <w:p w14:paraId="2A351E50" w14:textId="27ECF6BA" w:rsidR="00B54640" w:rsidRDefault="004F4ED0" w:rsidP="006E52F0">
      <w:pPr>
        <w:rPr>
          <w:lang w:val="en-US"/>
        </w:rPr>
      </w:pPr>
      <w:r>
        <w:rPr>
          <w:lang w:val="en-US"/>
        </w:rPr>
        <w:t>The NR-U study item focused primarily on the 5 and 6 GHz bands.</w:t>
      </w:r>
    </w:p>
    <w:p w14:paraId="43D1EF2D" w14:textId="201A7E7E" w:rsidR="00B54640" w:rsidRDefault="0020619D" w:rsidP="006E52F0">
      <w:pPr>
        <w:rPr>
          <w:lang w:val="en-US"/>
        </w:rPr>
      </w:pPr>
      <w:r>
        <w:rPr>
          <w:lang w:val="en-US"/>
        </w:rPr>
        <w:t xml:space="preserve">When LAA was introduced in Rel-13 for the 5 GHz band, there were already a significant number of Wi-Fi nodes deployed in </w:t>
      </w:r>
      <w:r w:rsidR="0085736D">
        <w:rPr>
          <w:lang w:val="en-US"/>
        </w:rPr>
        <w:t>the</w:t>
      </w:r>
      <w:r>
        <w:rPr>
          <w:lang w:val="en-US"/>
        </w:rPr>
        <w:t xml:space="preserve"> band. This led to the adoption of a coexistence criterion for the 5 GHz unlicensed band which stated </w:t>
      </w:r>
      <w:r w:rsidR="00B54640">
        <w:rPr>
          <w:lang w:val="en-US"/>
        </w:rPr>
        <w:t xml:space="preserve">that </w:t>
      </w:r>
      <w:r>
        <w:rPr>
          <w:lang w:val="en-US"/>
        </w:rPr>
        <w:t xml:space="preserve">new technologies such as LAA </w:t>
      </w:r>
      <w:r w:rsidR="00B54640">
        <w:rPr>
          <w:lang w:val="en-US"/>
        </w:rPr>
        <w:t xml:space="preserve">should not impact deployed Wi-Fi more than an additional Wi-Fi network on the same carrier. As documented in TR 38.889 </w:t>
      </w:r>
      <w:r w:rsidR="00B54640">
        <w:rPr>
          <w:lang w:val="en-US"/>
        </w:rPr>
        <w:fldChar w:fldCharType="begin"/>
      </w:r>
      <w:r w:rsidR="00B54640">
        <w:rPr>
          <w:lang w:val="en-US"/>
        </w:rPr>
        <w:instrText xml:space="preserve"> REF _Ref531088864 \r \h </w:instrText>
      </w:r>
      <w:r w:rsidR="00B54640">
        <w:rPr>
          <w:lang w:val="en-US"/>
        </w:rPr>
      </w:r>
      <w:r w:rsidR="00B54640">
        <w:rPr>
          <w:lang w:val="en-US"/>
        </w:rPr>
        <w:fldChar w:fldCharType="separate"/>
      </w:r>
      <w:r w:rsidR="00B54640">
        <w:rPr>
          <w:lang w:val="en-US"/>
        </w:rPr>
        <w:t>[1]</w:t>
      </w:r>
      <w:r w:rsidR="00B54640">
        <w:rPr>
          <w:lang w:val="en-US"/>
        </w:rPr>
        <w:fldChar w:fldCharType="end"/>
      </w:r>
      <w:r w:rsidR="00B54640">
        <w:rPr>
          <w:lang w:val="en-US"/>
        </w:rPr>
        <w:t xml:space="preserve">, </w:t>
      </w:r>
      <w:r>
        <w:rPr>
          <w:lang w:val="en-US"/>
        </w:rPr>
        <w:t xml:space="preserve">NR-U </w:t>
      </w:r>
      <w:r w:rsidR="007F424C">
        <w:rPr>
          <w:lang w:val="en-US"/>
        </w:rPr>
        <w:t xml:space="preserve">achieves good </w:t>
      </w:r>
      <w:r w:rsidR="00F54DA9">
        <w:rPr>
          <w:lang w:val="en-US"/>
        </w:rPr>
        <w:t xml:space="preserve">coexistence </w:t>
      </w:r>
      <w:r w:rsidR="007F424C">
        <w:rPr>
          <w:lang w:val="en-US"/>
        </w:rPr>
        <w:t>under</w:t>
      </w:r>
      <w:r w:rsidR="00F54DA9">
        <w:rPr>
          <w:lang w:val="en-US"/>
        </w:rPr>
        <w:t xml:space="preserve"> this </w:t>
      </w:r>
      <w:r w:rsidR="007F424C">
        <w:rPr>
          <w:lang w:val="en-US"/>
        </w:rPr>
        <w:t xml:space="preserve">same </w:t>
      </w:r>
      <w:r w:rsidR="00F93A23">
        <w:rPr>
          <w:lang w:val="en-US"/>
        </w:rPr>
        <w:t xml:space="preserve">criterion </w:t>
      </w:r>
      <w:r w:rsidR="00B54640">
        <w:rPr>
          <w:lang w:val="en-US"/>
        </w:rPr>
        <w:t xml:space="preserve">by adopting coexistence methods defined </w:t>
      </w:r>
      <w:r w:rsidR="007F424C">
        <w:rPr>
          <w:lang w:val="en-US"/>
        </w:rPr>
        <w:t>for LTE-LAA for</w:t>
      </w:r>
      <w:r w:rsidR="00B54640">
        <w:rPr>
          <w:lang w:val="en-US"/>
        </w:rPr>
        <w:t xml:space="preserve"> the 5 GHz band plus adopting the recommendations on channel access documented in Section 7.2.1.3.1 of the TR. </w:t>
      </w:r>
      <w:r w:rsidR="001353D0">
        <w:rPr>
          <w:lang w:val="en-US"/>
        </w:rPr>
        <w:t>Evaluations have shown</w:t>
      </w:r>
      <w:r w:rsidR="007F424C">
        <w:rPr>
          <w:lang w:val="en-US"/>
        </w:rPr>
        <w:t xml:space="preserve"> </w:t>
      </w:r>
      <w:r w:rsidR="007F424C">
        <w:rPr>
          <w:lang w:val="en-US"/>
        </w:rPr>
        <w:fldChar w:fldCharType="begin"/>
      </w:r>
      <w:r w:rsidR="007F424C">
        <w:rPr>
          <w:lang w:val="en-US"/>
        </w:rPr>
        <w:instrText xml:space="preserve"> REF _Ref531088864 \r \h </w:instrText>
      </w:r>
      <w:r w:rsidR="007F424C">
        <w:rPr>
          <w:lang w:val="en-US"/>
        </w:rPr>
      </w:r>
      <w:r w:rsidR="007F424C">
        <w:rPr>
          <w:lang w:val="en-US"/>
        </w:rPr>
        <w:fldChar w:fldCharType="separate"/>
      </w:r>
      <w:r w:rsidR="007F424C">
        <w:rPr>
          <w:lang w:val="en-US"/>
        </w:rPr>
        <w:t>[1]</w:t>
      </w:r>
      <w:r w:rsidR="007F424C">
        <w:rPr>
          <w:lang w:val="en-US"/>
        </w:rPr>
        <w:fldChar w:fldCharType="end"/>
      </w:r>
      <w:r w:rsidR="001353D0">
        <w:rPr>
          <w:lang w:val="en-US"/>
        </w:rPr>
        <w:t xml:space="preserve"> that</w:t>
      </w:r>
      <w:r w:rsidR="007F424C">
        <w:rPr>
          <w:lang w:val="en-US"/>
        </w:rPr>
        <w:t xml:space="preserve"> not only does NR-U coexist well with Wi-Fi, but </w:t>
      </w:r>
      <w:r w:rsidR="001353D0">
        <w:rPr>
          <w:lang w:val="en-US"/>
        </w:rPr>
        <w:t xml:space="preserve">the performance of </w:t>
      </w:r>
      <w:r w:rsidR="007F424C">
        <w:rPr>
          <w:lang w:val="en-US"/>
        </w:rPr>
        <w:t xml:space="preserve">the </w:t>
      </w:r>
      <w:r w:rsidR="00E41919">
        <w:rPr>
          <w:lang w:val="en-US"/>
        </w:rPr>
        <w:t xml:space="preserve">Wi-Fi network significantly </w:t>
      </w:r>
      <w:r w:rsidR="007F424C">
        <w:rPr>
          <w:lang w:val="en-US"/>
        </w:rPr>
        <w:t xml:space="preserve">improves compared to the baseline performance of a </w:t>
      </w:r>
      <w:r w:rsidR="00277DCA">
        <w:rPr>
          <w:lang w:val="en-US"/>
        </w:rPr>
        <w:t xml:space="preserve">Wi-Fi network </w:t>
      </w:r>
      <w:r w:rsidR="007F424C">
        <w:rPr>
          <w:lang w:val="en-US"/>
        </w:rPr>
        <w:t>coexisting</w:t>
      </w:r>
      <w:r w:rsidR="00277DCA">
        <w:rPr>
          <w:lang w:val="en-US"/>
        </w:rPr>
        <w:t xml:space="preserve"> with another Wi-Fi network</w:t>
      </w:r>
      <w:r w:rsidR="001353D0">
        <w:rPr>
          <w:lang w:val="en-US"/>
        </w:rPr>
        <w:t>.</w:t>
      </w:r>
    </w:p>
    <w:p w14:paraId="606D044B" w14:textId="1C3B6074" w:rsidR="00B80C45" w:rsidRDefault="006E1C43" w:rsidP="00C66B88">
      <w:r>
        <w:t>In contrast, the 6 GHz band</w:t>
      </w:r>
      <w:r w:rsidR="00F93A23">
        <w:t xml:space="preserve"> is greenfield spectrum and there are no existing users that need special consideration. </w:t>
      </w:r>
      <w:r w:rsidR="00F93A23" w:rsidRPr="00F93A23">
        <w:t>Moreover, multiple technologies are expected to operate in this spectrum when the spectrum becomes available, e.g., NR-U, LTE-LAA, Wi-Fi, etc.</w:t>
      </w:r>
      <w:r w:rsidR="00F93A23">
        <w:t xml:space="preserve"> Therefore, any coexistence criterion here should clearly be technology neutral</w:t>
      </w:r>
      <w:r w:rsidR="00D8333A">
        <w:t>. I</w:t>
      </w:r>
      <w:r>
        <w:t xml:space="preserve">t </w:t>
      </w:r>
      <w:r w:rsidR="00455E9F">
        <w:t xml:space="preserve">is impractical </w:t>
      </w:r>
      <w:r>
        <w:t xml:space="preserve">to adopt a coexistence criterion based on Technology B not impacting Technology A more than </w:t>
      </w:r>
      <w:r w:rsidR="0020619D">
        <w:t xml:space="preserve">Technology </w:t>
      </w:r>
      <w:r>
        <w:t>A would impact itself</w:t>
      </w:r>
      <w:r w:rsidR="00311AF1">
        <w:t>. Such a criterion</w:t>
      </w:r>
      <w:r w:rsidR="00455E9F">
        <w:t xml:space="preserve"> is highly unlikely to be technology neutral</w:t>
      </w:r>
      <w:r>
        <w:t xml:space="preserve">. </w:t>
      </w:r>
      <w:r w:rsidR="00455E9F">
        <w:t xml:space="preserve">For </w:t>
      </w:r>
      <w:r w:rsidR="00311AF1">
        <w:t>example</w:t>
      </w:r>
      <w:r w:rsidR="00455E9F">
        <w:t xml:space="preserve">, an IEEE 802.11ac network </w:t>
      </w:r>
      <w:r w:rsidR="00280778">
        <w:t>c</w:t>
      </w:r>
      <w:r w:rsidR="00455E9F">
        <w:t xml:space="preserve">ould cause more harm to an NR-U network than another NR-U network. </w:t>
      </w:r>
      <w:r w:rsidR="00EC2DDF">
        <w:t xml:space="preserve">In 5 GHz, the potential of a negative impact to already deployed Wi-Fi networks led to </w:t>
      </w:r>
      <w:r w:rsidR="00232F6A">
        <w:t xml:space="preserve">LAA being designed </w:t>
      </w:r>
      <w:proofErr w:type="gramStart"/>
      <w:r w:rsidR="00232F6A">
        <w:t>so as to</w:t>
      </w:r>
      <w:proofErr w:type="gramEnd"/>
      <w:r w:rsidR="00232F6A">
        <w:t xml:space="preserve"> give </w:t>
      </w:r>
      <w:r w:rsidR="00B80C45">
        <w:t>preferential channel access</w:t>
      </w:r>
      <w:r w:rsidR="00EC2DDF">
        <w:t xml:space="preserve"> </w:t>
      </w:r>
      <w:r w:rsidR="00232F6A">
        <w:t>to</w:t>
      </w:r>
      <w:r w:rsidR="00EC2DDF">
        <w:t xml:space="preserve"> Wi-Fi</w:t>
      </w:r>
      <w:r w:rsidR="00B80C45">
        <w:t>. For example, Wi-Fi defers to LTE-LAA at ED = -62 dBm, whereas LTE-LAA defers to Wi-Fi at ED = -72 dBm</w:t>
      </w:r>
      <w:r w:rsidR="00EC2DDF">
        <w:t>. I</w:t>
      </w:r>
      <w:r w:rsidR="00B80C45">
        <w:t>n the 6 GHz band</w:t>
      </w:r>
      <w:r w:rsidR="00EC2DDF">
        <w:t>, there is no need for such protection for existing users and</w:t>
      </w:r>
      <w:r w:rsidR="00B80C45">
        <w:t xml:space="preserve"> </w:t>
      </w:r>
      <w:r w:rsidR="00EC2DDF">
        <w:t>a</w:t>
      </w:r>
      <w:r w:rsidR="00B80C45">
        <w:t>ll technologies should access the band on a technology neutral basis.</w:t>
      </w:r>
    </w:p>
    <w:p w14:paraId="32361140" w14:textId="624C6079" w:rsidR="00D337A3" w:rsidRDefault="00D337A3" w:rsidP="00D337A3">
      <w:pPr>
        <w:pStyle w:val="BodyText"/>
      </w:pPr>
      <w:r>
        <w:t xml:space="preserve">While it may seem tempting to </w:t>
      </w:r>
      <w:r w:rsidR="005970BD">
        <w:t xml:space="preserve">consider </w:t>
      </w:r>
      <w:r>
        <w:t>equal airtime</w:t>
      </w:r>
      <w:r w:rsidR="005970BD">
        <w:t xml:space="preserve"> as </w:t>
      </w:r>
      <w:r w:rsidR="00EF1031">
        <w:t>an alternate</w:t>
      </w:r>
      <w:r w:rsidR="005970BD">
        <w:t xml:space="preserve"> coexistence criterion</w:t>
      </w:r>
      <w:r>
        <w:t xml:space="preserve">, this is </w:t>
      </w:r>
      <w:r w:rsidR="00EF1031">
        <w:t xml:space="preserve">unnecessary and </w:t>
      </w:r>
      <w:r>
        <w:t>impractical. Different technologies</w:t>
      </w:r>
      <w:r w:rsidR="00D8333A">
        <w:t xml:space="preserve"> </w:t>
      </w:r>
      <w:r w:rsidR="005970BD">
        <w:t xml:space="preserve">(and even different networks of the same technology implementing different </w:t>
      </w:r>
      <w:r w:rsidR="00D8333A">
        <w:t>features</w:t>
      </w:r>
      <w:r w:rsidR="005970BD">
        <w:t xml:space="preserve">, e.g., different MIMO modes) will likely have </w:t>
      </w:r>
      <w:r>
        <w:t xml:space="preserve">different </w:t>
      </w:r>
      <w:r w:rsidR="005970BD">
        <w:t>coverage</w:t>
      </w:r>
      <w:r w:rsidR="00EF1031">
        <w:t xml:space="preserve">, </w:t>
      </w:r>
      <w:r>
        <w:t>spectral efficiencies</w:t>
      </w:r>
      <w:r w:rsidR="00EF1031">
        <w:t xml:space="preserve"> and deployment densities </w:t>
      </w:r>
      <w:r>
        <w:t>and thus it is difficult to enforce equal airtime</w:t>
      </w:r>
      <w:r w:rsidR="00EF1031">
        <w:t xml:space="preserve"> across different technologies</w:t>
      </w:r>
      <w:r>
        <w:t>.</w:t>
      </w:r>
    </w:p>
    <w:p w14:paraId="62CA939C" w14:textId="2CF01251" w:rsidR="009E781D" w:rsidRDefault="00B10186" w:rsidP="006E52F0">
      <w:r>
        <w:t xml:space="preserve">It should be noted that while the definition of a coexistence criterion for spectrum where there are no deployed systems is difficult, it is not necessary </w:t>
      </w:r>
      <w:r w:rsidR="00D8333A">
        <w:t xml:space="preserve">to do this </w:t>
      </w:r>
      <w:r w:rsidR="00F20C27">
        <w:t xml:space="preserve">if the </w:t>
      </w:r>
      <w:r>
        <w:t>channel access mechanisms of different technologies use similar principles. For the 5 GHz band, the channel access mechanisms for LTE-LAA were already quite well aligned with the mechanisms used in IEEE 802.11</w:t>
      </w:r>
      <w:r w:rsidR="00F20C27">
        <w:t xml:space="preserve"> in most aspects</w:t>
      </w:r>
      <w:r w:rsidR="0093632A">
        <w:t xml:space="preserve"> and have been shown to coexist quite well with other technologies. Building upon this channel access mechanism </w:t>
      </w:r>
      <w:r w:rsidR="003850E8">
        <w:t>will</w:t>
      </w:r>
      <w:r w:rsidR="0093632A">
        <w:t xml:space="preserve"> continue to ensure good coexistence even for 6 GHz. Therefore, it is more important that the channel access mechanisms already defined are used as a baseline with potential for further optimization than trying to define a new coexistence criterion</w:t>
      </w:r>
      <w:r>
        <w:t xml:space="preserve">. </w:t>
      </w:r>
    </w:p>
    <w:p w14:paraId="15EDE611" w14:textId="054F0D26" w:rsidR="0093632A" w:rsidRDefault="0093632A" w:rsidP="0093632A">
      <w:pPr>
        <w:pStyle w:val="Observation"/>
      </w:pPr>
      <w:bookmarkStart w:id="73" w:name="_Toc531610954"/>
      <w:r>
        <w:t>Unlicensed 6 GHz spectrum is greenfield spectrum. Consequently, technology neutral channel access mechanisms should be adopted for unlicensed technologies operating in the band.</w:t>
      </w:r>
      <w:r w:rsidR="00777A9B">
        <w:t xml:space="preserve"> Good coexistence is more effectively achieved by building on the channel access mechanisms already defined for the 5 GHz band rather than attempting to define new technology neutral coexistence criteria.</w:t>
      </w:r>
      <w:bookmarkEnd w:id="73"/>
    </w:p>
    <w:p w14:paraId="7C1D1FF1" w14:textId="2B2508DD" w:rsidR="00DE41DB" w:rsidRDefault="00B10186" w:rsidP="006E52F0">
      <w:r>
        <w:t xml:space="preserve">In the interest of further alignment, it has been proposed that NR-U </w:t>
      </w:r>
      <w:r w:rsidR="00D337A3">
        <w:t xml:space="preserve">adopts </w:t>
      </w:r>
      <w:r>
        <w:t>some version of the</w:t>
      </w:r>
      <w:r w:rsidR="00D337A3">
        <w:t xml:space="preserve"> preamble</w:t>
      </w:r>
      <w:r>
        <w:t>s</w:t>
      </w:r>
      <w:r w:rsidR="00D337A3">
        <w:t xml:space="preserve"> </w:t>
      </w:r>
      <w:r>
        <w:t xml:space="preserve">used by IEEE 802.11 </w:t>
      </w:r>
      <w:r w:rsidR="00D337A3">
        <w:t xml:space="preserve">so that both technologies defer to each other at the same </w:t>
      </w:r>
      <w:r w:rsidR="00DE41DB">
        <w:t>energy level, e.g., -82 dBm in the case of the 802.11a/</w:t>
      </w:r>
      <w:proofErr w:type="spellStart"/>
      <w:r w:rsidR="00DE41DB">
        <w:t>ax</w:t>
      </w:r>
      <w:proofErr w:type="spellEnd"/>
      <w:r w:rsidR="00DE41DB">
        <w:t xml:space="preserve"> preambles. </w:t>
      </w:r>
      <w:r w:rsidR="00F20C27">
        <w:t xml:space="preserve">There are </w:t>
      </w:r>
      <w:r w:rsidR="00A75D1D">
        <w:t>several</w:t>
      </w:r>
      <w:r w:rsidR="00F20C27">
        <w:t xml:space="preserve"> problems with this approach as discussed below.</w:t>
      </w:r>
    </w:p>
    <w:p w14:paraId="636B8AB6" w14:textId="77267558" w:rsidR="00DE41DB" w:rsidRDefault="00F20C27" w:rsidP="006E52F0">
      <w:r>
        <w:t>First, i</w:t>
      </w:r>
      <w:r w:rsidR="00FE142D">
        <w:t>t</w:t>
      </w:r>
      <w:r w:rsidR="00DE41DB">
        <w:t xml:space="preserve"> is not appropriate </w:t>
      </w:r>
      <w:r w:rsidR="005A5FA4">
        <w:t xml:space="preserve">or technology neutral </w:t>
      </w:r>
      <w:r w:rsidR="00DE41DB">
        <w:t>for one technology to bear the burden of implementing the preamble of another technology, especially when the preamble is based on fundamentally incompatible numerologies</w:t>
      </w:r>
      <w:r w:rsidR="00FB458A">
        <w:t xml:space="preserve">, sampling rates, </w:t>
      </w:r>
      <w:r w:rsidR="00DE41DB">
        <w:t>signal formats</w:t>
      </w:r>
      <w:r w:rsidR="00FB458A">
        <w:t>, et</w:t>
      </w:r>
      <w:r w:rsidR="005A5FA4">
        <w:t>c</w:t>
      </w:r>
      <w:r w:rsidR="00DE41DB">
        <w:t>.</w:t>
      </w:r>
      <w:r w:rsidR="00AD50EB">
        <w:t xml:space="preserve"> </w:t>
      </w:r>
      <w:r w:rsidR="00AD50EB">
        <w:fldChar w:fldCharType="begin"/>
      </w:r>
      <w:r w:rsidR="00AD50EB">
        <w:instrText xml:space="preserve"> REF _Ref531299514 \r \h </w:instrText>
      </w:r>
      <w:r w:rsidR="00AD50EB">
        <w:fldChar w:fldCharType="separate"/>
      </w:r>
      <w:r w:rsidR="00AD50EB">
        <w:t>[9]</w:t>
      </w:r>
      <w:r w:rsidR="00AD50EB">
        <w:fldChar w:fldCharType="end"/>
      </w:r>
      <w:r w:rsidR="00AD50EB">
        <w:fldChar w:fldCharType="begin"/>
      </w:r>
      <w:r w:rsidR="00AD50EB">
        <w:instrText xml:space="preserve"> REF _Ref531299516 \r \h </w:instrText>
      </w:r>
      <w:r w:rsidR="00AD50EB">
        <w:fldChar w:fldCharType="separate"/>
      </w:r>
      <w:r w:rsidR="00AD50EB">
        <w:t>[10]</w:t>
      </w:r>
      <w:r w:rsidR="00AD50EB">
        <w:fldChar w:fldCharType="end"/>
      </w:r>
      <w:r w:rsidR="00AD50EB">
        <w:fldChar w:fldCharType="begin"/>
      </w:r>
      <w:r w:rsidR="00AD50EB">
        <w:instrText xml:space="preserve"> REF _Ref531299518 \r \h </w:instrText>
      </w:r>
      <w:r w:rsidR="00AD50EB">
        <w:fldChar w:fldCharType="separate"/>
      </w:r>
      <w:r w:rsidR="00AD50EB">
        <w:t>[11]</w:t>
      </w:r>
      <w:r w:rsidR="00AD50EB">
        <w:fldChar w:fldCharType="end"/>
      </w:r>
      <w:r w:rsidR="00AD50EB">
        <w:t>.</w:t>
      </w:r>
      <w:r w:rsidR="00FB458A">
        <w:t xml:space="preserve"> </w:t>
      </w:r>
      <w:r w:rsidR="00A75D1D">
        <w:t>Second</w:t>
      </w:r>
      <w:r w:rsidR="005A5FA4">
        <w:t>, s</w:t>
      </w:r>
      <w:r w:rsidR="00FB458A">
        <w:t xml:space="preserve">uch a situation is not future proof, and constrains innovation and development timelines of both technologies. Interoperability testing </w:t>
      </w:r>
      <w:r>
        <w:t xml:space="preserve">also </w:t>
      </w:r>
      <w:r w:rsidR="00FB458A">
        <w:t>becomes a serious challenge.</w:t>
      </w:r>
      <w:r>
        <w:t xml:space="preserve"> </w:t>
      </w:r>
      <w:r w:rsidR="00A75D1D">
        <w:t>Third</w:t>
      </w:r>
      <w:r>
        <w:t>, the IEEE 802.11 preambles are used with a dual threshold approach whereby an 802.11 node defers to other 802.11 nodes at a lower threshold (-82 dBm) while deferring to nodes of other technologies at a threshold that is 20 dB higher. This approach has been shown to be harmful to system performance</w:t>
      </w:r>
      <w:r w:rsidR="00B014BB">
        <w:t xml:space="preserve"> and </w:t>
      </w:r>
      <w:r w:rsidR="005A5FA4" w:rsidRPr="00981DF8">
        <w:t>is fundamentally non-neutral</w:t>
      </w:r>
      <w:r w:rsidR="00AD50EB" w:rsidRPr="00981DF8">
        <w:t>.</w:t>
      </w:r>
      <w:r w:rsidR="00B014BB">
        <w:t xml:space="preserve"> Lastly, </w:t>
      </w:r>
      <w:r w:rsidR="009E781D">
        <w:t>i</w:t>
      </w:r>
      <w:r>
        <w:t xml:space="preserve">t is not </w:t>
      </w:r>
      <w:r w:rsidR="009E781D">
        <w:t xml:space="preserve">prudent </w:t>
      </w:r>
      <w:r>
        <w:t xml:space="preserve">to adopt a </w:t>
      </w:r>
      <w:r w:rsidR="00FC630D">
        <w:t xml:space="preserve">dual threshold </w:t>
      </w:r>
      <w:r>
        <w:t xml:space="preserve">solution that was developed more than 20 years </w:t>
      </w:r>
      <w:r w:rsidR="00232F6A">
        <w:t>ago</w:t>
      </w:r>
      <w:r>
        <w:t xml:space="preserve"> </w:t>
      </w:r>
      <w:r w:rsidR="009E781D">
        <w:t xml:space="preserve">as a solution </w:t>
      </w:r>
      <w:r>
        <w:t>for new greenfield unlicensed spectrum that is going to be made available in the future</w:t>
      </w:r>
      <w:r w:rsidR="009E781D">
        <w:t xml:space="preserve"> when there is an opportunity to do better</w:t>
      </w:r>
      <w:r>
        <w:t>.</w:t>
      </w:r>
    </w:p>
    <w:p w14:paraId="4283FD7C" w14:textId="77777777" w:rsidR="009E65D9" w:rsidRDefault="00FB458A" w:rsidP="006E52F0">
      <w:r>
        <w:lastRenderedPageBreak/>
        <w:t xml:space="preserve">A far simpler approach to </w:t>
      </w:r>
      <w:r w:rsidR="00F20C27">
        <w:t xml:space="preserve">achieve better alignment between different technologies in a </w:t>
      </w:r>
      <w:r>
        <w:t xml:space="preserve">technology neutral </w:t>
      </w:r>
      <w:r w:rsidR="00F20C27">
        <w:t xml:space="preserve">manner </w:t>
      </w:r>
      <w:r>
        <w:t xml:space="preserve">is for all technologies to adopt a </w:t>
      </w:r>
      <w:r w:rsidR="00981DF8">
        <w:t>harmonized</w:t>
      </w:r>
      <w:r>
        <w:t xml:space="preserve"> </w:t>
      </w:r>
      <w:r w:rsidR="00981DF8">
        <w:t xml:space="preserve">energy </w:t>
      </w:r>
      <w:r>
        <w:t xml:space="preserve">detect (ED) threshold. This approach </w:t>
      </w:r>
      <w:r w:rsidR="009E65D9">
        <w:t>has the following advantages:</w:t>
      </w:r>
    </w:p>
    <w:p w14:paraId="65E374F0" w14:textId="77777777" w:rsidR="009E65D9" w:rsidRDefault="009E65D9" w:rsidP="009E65D9">
      <w:pPr>
        <w:pStyle w:val="ListParagraph"/>
        <w:numPr>
          <w:ilvl w:val="0"/>
          <w:numId w:val="51"/>
        </w:numPr>
        <w:ind w:leftChars="0"/>
        <w:rPr>
          <w:rFonts w:ascii="Arial" w:hAnsi="Arial" w:cs="Arial"/>
        </w:rPr>
      </w:pPr>
      <w:bookmarkStart w:id="74" w:name="_Hlk531545557"/>
      <w:r w:rsidRPr="007725D7">
        <w:rPr>
          <w:rFonts w:ascii="Arial" w:hAnsi="Arial" w:cs="Arial"/>
        </w:rPr>
        <w:t xml:space="preserve">It </w:t>
      </w:r>
      <w:r w:rsidR="00FB458A" w:rsidRPr="007725D7">
        <w:rPr>
          <w:rFonts w:ascii="Arial" w:hAnsi="Arial" w:cs="Arial"/>
        </w:rPr>
        <w:t>does not require one technology to detect and decode the signals/channels of another technology.</w:t>
      </w:r>
    </w:p>
    <w:p w14:paraId="00EBCC43" w14:textId="77777777" w:rsidR="00C66B88" w:rsidRPr="00C66B88" w:rsidRDefault="00F44B7B" w:rsidP="007725D7">
      <w:pPr>
        <w:pStyle w:val="ListParagraph"/>
        <w:numPr>
          <w:ilvl w:val="0"/>
          <w:numId w:val="51"/>
        </w:numPr>
        <w:ind w:leftChars="0"/>
        <w:rPr>
          <w:rFonts w:cs="Arial"/>
        </w:rPr>
      </w:pPr>
      <w:r w:rsidRPr="007725D7">
        <w:rPr>
          <w:rFonts w:ascii="Arial" w:hAnsi="Arial" w:cs="Arial"/>
        </w:rPr>
        <w:t xml:space="preserve">It enables all nodes </w:t>
      </w:r>
      <w:r w:rsidR="008873C3">
        <w:rPr>
          <w:rFonts w:ascii="Arial" w:hAnsi="Arial" w:cs="Arial"/>
        </w:rPr>
        <w:t xml:space="preserve">to be </w:t>
      </w:r>
      <w:r w:rsidRPr="007725D7">
        <w:rPr>
          <w:rFonts w:ascii="Arial" w:hAnsi="Arial" w:cs="Arial"/>
        </w:rPr>
        <w:t>respected at the same energy level regardless of which technology they use.</w:t>
      </w:r>
      <w:r w:rsidR="00B014BB" w:rsidRPr="007725D7">
        <w:rPr>
          <w:rFonts w:ascii="Arial" w:hAnsi="Arial" w:cs="Arial"/>
        </w:rPr>
        <w:t xml:space="preserve"> In </w:t>
      </w:r>
      <w:r w:rsidR="00B014BB" w:rsidRPr="007725D7">
        <w:rPr>
          <w:rFonts w:cs="Arial"/>
        </w:rPr>
        <w:fldChar w:fldCharType="begin"/>
      </w:r>
      <w:r w:rsidR="00B014BB" w:rsidRPr="007725D7">
        <w:rPr>
          <w:rFonts w:ascii="Arial" w:hAnsi="Arial" w:cs="Arial"/>
        </w:rPr>
        <w:instrText xml:space="preserve"> REF _Ref531113230 \r \h </w:instrText>
      </w:r>
      <w:r w:rsidR="009E65D9">
        <w:rPr>
          <w:rFonts w:ascii="Arial" w:hAnsi="Arial" w:cs="Arial"/>
        </w:rPr>
        <w:instrText xml:space="preserve"> \* MERGEFORMAT </w:instrText>
      </w:r>
      <w:r w:rsidR="00B014BB" w:rsidRPr="007725D7">
        <w:rPr>
          <w:rFonts w:cs="Arial"/>
        </w:rPr>
      </w:r>
      <w:r w:rsidR="00B014BB" w:rsidRPr="007725D7">
        <w:rPr>
          <w:rFonts w:cs="Arial"/>
        </w:rPr>
        <w:fldChar w:fldCharType="separate"/>
      </w:r>
      <w:r w:rsidR="00B014BB" w:rsidRPr="007725D7">
        <w:rPr>
          <w:rFonts w:ascii="Arial" w:hAnsi="Arial" w:cs="Arial"/>
        </w:rPr>
        <w:t>[12]</w:t>
      </w:r>
      <w:r w:rsidR="00B014BB" w:rsidRPr="007725D7">
        <w:rPr>
          <w:rFonts w:cs="Arial"/>
        </w:rPr>
        <w:fldChar w:fldCharType="end"/>
      </w:r>
      <w:r w:rsidR="00B014BB" w:rsidRPr="007725D7">
        <w:rPr>
          <w:rFonts w:ascii="Arial" w:hAnsi="Arial" w:cs="Arial"/>
        </w:rPr>
        <w:t>, we show that when two technologies adopt a harmonized ED threshold, regardless of whether or not one technology operates with its own lower PD threshold, better coexistence, and better overall performance for both technologies is achieved compared to the two technologies using different ED thresholds.</w:t>
      </w:r>
    </w:p>
    <w:p w14:paraId="1DBF6ECC" w14:textId="7107D23F" w:rsidR="00DE41DB" w:rsidRPr="00AD2E72" w:rsidRDefault="009E65D9" w:rsidP="007725D7">
      <w:pPr>
        <w:pStyle w:val="ListParagraph"/>
        <w:numPr>
          <w:ilvl w:val="0"/>
          <w:numId w:val="51"/>
        </w:numPr>
        <w:ind w:leftChars="0"/>
        <w:rPr>
          <w:rFonts w:cs="Arial"/>
        </w:rPr>
      </w:pPr>
      <w:r>
        <w:rPr>
          <w:rFonts w:ascii="Arial" w:hAnsi="Arial" w:cs="Arial"/>
        </w:rPr>
        <w:t>E</w:t>
      </w:r>
      <w:r w:rsidR="00981DF8" w:rsidRPr="007725D7">
        <w:rPr>
          <w:rFonts w:ascii="Arial" w:hAnsi="Arial" w:cs="Arial"/>
        </w:rPr>
        <w:t xml:space="preserve">ven with a harmonized ED threshold, </w:t>
      </w:r>
      <w:r w:rsidR="00F44B7B" w:rsidRPr="007725D7">
        <w:rPr>
          <w:rFonts w:ascii="Arial" w:hAnsi="Arial" w:cs="Arial"/>
        </w:rPr>
        <w:t xml:space="preserve">if </w:t>
      </w:r>
      <w:r w:rsidR="00981DF8" w:rsidRPr="007725D7">
        <w:rPr>
          <w:rFonts w:ascii="Arial" w:hAnsi="Arial" w:cs="Arial"/>
        </w:rPr>
        <w:t xml:space="preserve">a </w:t>
      </w:r>
      <w:proofErr w:type="gramStart"/>
      <w:r w:rsidR="00981DF8" w:rsidRPr="007725D7">
        <w:rPr>
          <w:rFonts w:ascii="Arial" w:hAnsi="Arial" w:cs="Arial"/>
        </w:rPr>
        <w:t>particular</w:t>
      </w:r>
      <w:r w:rsidR="00F44B7B" w:rsidRPr="007725D7">
        <w:rPr>
          <w:rFonts w:ascii="Arial" w:hAnsi="Arial" w:cs="Arial"/>
        </w:rPr>
        <w:t xml:space="preserve"> technology</w:t>
      </w:r>
      <w:proofErr w:type="gramEnd"/>
      <w:r w:rsidR="00B014BB" w:rsidRPr="007725D7">
        <w:rPr>
          <w:rFonts w:ascii="Arial" w:hAnsi="Arial" w:cs="Arial"/>
        </w:rPr>
        <w:t xml:space="preserve">, e.g., 802.11ax, </w:t>
      </w:r>
      <w:r w:rsidR="00F44B7B" w:rsidRPr="007725D7">
        <w:rPr>
          <w:rFonts w:ascii="Arial" w:hAnsi="Arial" w:cs="Arial"/>
        </w:rPr>
        <w:t xml:space="preserve">prefers to use </w:t>
      </w:r>
      <w:r w:rsidR="00242AD3" w:rsidRPr="007725D7">
        <w:rPr>
          <w:rFonts w:ascii="Arial" w:hAnsi="Arial" w:cs="Arial"/>
        </w:rPr>
        <w:t xml:space="preserve">preambles to </w:t>
      </w:r>
      <w:r w:rsidR="00F44B7B" w:rsidRPr="007725D7">
        <w:rPr>
          <w:rFonts w:ascii="Arial" w:hAnsi="Arial" w:cs="Arial"/>
        </w:rPr>
        <w:t xml:space="preserve">detect nodes </w:t>
      </w:r>
      <w:r w:rsidR="00981DF8" w:rsidRPr="007725D7">
        <w:rPr>
          <w:rFonts w:ascii="Arial" w:hAnsi="Arial" w:cs="Arial"/>
        </w:rPr>
        <w:t>of</w:t>
      </w:r>
      <w:r w:rsidR="00F44B7B" w:rsidRPr="007725D7">
        <w:rPr>
          <w:rFonts w:ascii="Arial" w:hAnsi="Arial" w:cs="Arial"/>
        </w:rPr>
        <w:t xml:space="preserve"> the same technology, </w:t>
      </w:r>
      <w:r w:rsidR="00981DF8" w:rsidRPr="007725D7">
        <w:rPr>
          <w:rFonts w:ascii="Arial" w:hAnsi="Arial" w:cs="Arial"/>
        </w:rPr>
        <w:t>this may still be</w:t>
      </w:r>
      <w:r w:rsidR="00F44B7B" w:rsidRPr="007725D7">
        <w:rPr>
          <w:rFonts w:ascii="Arial" w:hAnsi="Arial" w:cs="Arial"/>
        </w:rPr>
        <w:t xml:space="preserve"> done as a technology choice</w:t>
      </w:r>
      <w:r w:rsidR="00981DF8" w:rsidRPr="007725D7">
        <w:rPr>
          <w:rFonts w:ascii="Arial" w:hAnsi="Arial" w:cs="Arial"/>
        </w:rPr>
        <w:t xml:space="preserve">. In this case, </w:t>
      </w:r>
      <w:r w:rsidR="00F44B7B" w:rsidRPr="007725D7">
        <w:rPr>
          <w:rFonts w:ascii="Arial" w:hAnsi="Arial" w:cs="Arial"/>
        </w:rPr>
        <w:t xml:space="preserve">the </w:t>
      </w:r>
      <w:r w:rsidR="00242AD3" w:rsidRPr="007725D7">
        <w:rPr>
          <w:rFonts w:ascii="Arial" w:hAnsi="Arial" w:cs="Arial"/>
        </w:rPr>
        <w:t xml:space="preserve">node may defer to other nodes transmitting preambles </w:t>
      </w:r>
      <w:r w:rsidR="00F44B7B" w:rsidRPr="007725D7">
        <w:rPr>
          <w:rFonts w:ascii="Arial" w:hAnsi="Arial" w:cs="Arial"/>
        </w:rPr>
        <w:t xml:space="preserve">at the same level as the common ED level or at a lower level. </w:t>
      </w:r>
      <w:r>
        <w:rPr>
          <w:rFonts w:ascii="Arial" w:hAnsi="Arial" w:cs="Arial"/>
        </w:rPr>
        <w:t>If it chooses to do so at the same level as the common ED threshold</w:t>
      </w:r>
      <w:r w:rsidR="00311AF1">
        <w:rPr>
          <w:rFonts w:ascii="Arial" w:hAnsi="Arial" w:cs="Arial"/>
        </w:rPr>
        <w:t xml:space="preserve">, there is no impact to coexistence. </w:t>
      </w:r>
      <w:r>
        <w:rPr>
          <w:rFonts w:ascii="Arial" w:hAnsi="Arial" w:cs="Arial"/>
        </w:rPr>
        <w:t>Alternately, the node may also choose to defer to other nodes</w:t>
      </w:r>
      <w:r w:rsidR="00311AF1">
        <w:rPr>
          <w:rFonts w:ascii="Arial" w:hAnsi="Arial" w:cs="Arial"/>
        </w:rPr>
        <w:t xml:space="preserve"> of the same technology</w:t>
      </w:r>
      <w:r>
        <w:rPr>
          <w:rFonts w:ascii="Arial" w:hAnsi="Arial" w:cs="Arial"/>
        </w:rPr>
        <w:t xml:space="preserve"> transmitting preambles at a threshold lower than the common ED threshold if there is some performance benefit seen in a </w:t>
      </w:r>
      <w:proofErr w:type="gramStart"/>
      <w:r>
        <w:rPr>
          <w:rFonts w:ascii="Arial" w:hAnsi="Arial" w:cs="Arial"/>
        </w:rPr>
        <w:t>particular deployment</w:t>
      </w:r>
      <w:proofErr w:type="gramEnd"/>
      <w:r>
        <w:rPr>
          <w:rFonts w:ascii="Arial" w:hAnsi="Arial" w:cs="Arial"/>
        </w:rPr>
        <w:t xml:space="preserve">. </w:t>
      </w:r>
      <w:r w:rsidR="00981DF8" w:rsidRPr="007725D7">
        <w:rPr>
          <w:rFonts w:ascii="Arial" w:hAnsi="Arial" w:cs="Arial"/>
        </w:rPr>
        <w:t>In other words</w:t>
      </w:r>
      <w:r w:rsidR="00242AD3" w:rsidRPr="007725D7">
        <w:rPr>
          <w:rFonts w:ascii="Arial" w:hAnsi="Arial" w:cs="Arial"/>
        </w:rPr>
        <w:t xml:space="preserve">, the use of preambles is not precluded </w:t>
      </w:r>
      <w:proofErr w:type="gramStart"/>
      <w:r w:rsidR="00242AD3" w:rsidRPr="007725D7">
        <w:rPr>
          <w:rFonts w:ascii="Arial" w:hAnsi="Arial" w:cs="Arial"/>
        </w:rPr>
        <w:t>by the use of</w:t>
      </w:r>
      <w:proofErr w:type="gramEnd"/>
      <w:r w:rsidR="00242AD3" w:rsidRPr="007725D7">
        <w:rPr>
          <w:rFonts w:ascii="Arial" w:hAnsi="Arial" w:cs="Arial"/>
        </w:rPr>
        <w:t xml:space="preserve"> a </w:t>
      </w:r>
      <w:r w:rsidR="00981DF8" w:rsidRPr="007725D7">
        <w:rPr>
          <w:rFonts w:ascii="Arial" w:hAnsi="Arial" w:cs="Arial"/>
        </w:rPr>
        <w:t>harmonized</w:t>
      </w:r>
      <w:r w:rsidR="00242AD3" w:rsidRPr="007725D7">
        <w:rPr>
          <w:rFonts w:ascii="Arial" w:hAnsi="Arial" w:cs="Arial"/>
        </w:rPr>
        <w:t xml:space="preserve"> ED threshold.</w:t>
      </w:r>
      <w:r w:rsidR="00981DF8" w:rsidRPr="007725D7">
        <w:rPr>
          <w:rFonts w:ascii="Arial" w:hAnsi="Arial" w:cs="Arial"/>
        </w:rPr>
        <w:t xml:space="preserve"> </w:t>
      </w:r>
    </w:p>
    <w:p w14:paraId="4A76ED46" w14:textId="66396459" w:rsidR="00826A8D" w:rsidRPr="00C20C9E" w:rsidRDefault="00826A8D" w:rsidP="0093476D">
      <w:pPr>
        <w:pStyle w:val="Observation"/>
      </w:pPr>
      <w:bookmarkStart w:id="75" w:name="_Toc528932410"/>
      <w:bookmarkStart w:id="76" w:name="_Toc531115492"/>
      <w:bookmarkStart w:id="77" w:name="_Toc531115621"/>
      <w:bookmarkStart w:id="78" w:name="_Toc531115628"/>
      <w:bookmarkStart w:id="79" w:name="_Toc531115669"/>
      <w:bookmarkStart w:id="80" w:name="_Toc531296362"/>
      <w:bookmarkStart w:id="81" w:name="_Toc531610955"/>
      <w:bookmarkEnd w:id="74"/>
      <w:r>
        <w:t>Technology neutral channel access based on the use of</w:t>
      </w:r>
      <w:r w:rsidRPr="00C20C9E">
        <w:t xml:space="preserve"> a </w:t>
      </w:r>
      <w:r>
        <w:t>harmonized</w:t>
      </w:r>
      <w:r w:rsidRPr="00C20C9E">
        <w:t xml:space="preserve"> ED threshold is a key aspect for </w:t>
      </w:r>
      <w:r>
        <w:t>good</w:t>
      </w:r>
      <w:r w:rsidRPr="00C20C9E">
        <w:t xml:space="preserve"> coexistence</w:t>
      </w:r>
      <w:bookmarkEnd w:id="75"/>
      <w:r>
        <w:t xml:space="preserve"> amongst technologies operating in the 6 GHz band.</w:t>
      </w:r>
      <w:bookmarkStart w:id="82" w:name="_Toc528932411"/>
      <w:bookmarkStart w:id="83" w:name="_Toc531115483"/>
      <w:bookmarkStart w:id="84" w:name="_Toc531115580"/>
      <w:bookmarkEnd w:id="76"/>
      <w:bookmarkEnd w:id="77"/>
      <w:bookmarkEnd w:id="78"/>
      <w:r w:rsidR="0093476D">
        <w:t xml:space="preserve"> </w:t>
      </w:r>
      <w:r w:rsidRPr="00C20C9E">
        <w:t xml:space="preserve">A </w:t>
      </w:r>
      <w:proofErr w:type="gramStart"/>
      <w:r>
        <w:t xml:space="preserve">particular </w:t>
      </w:r>
      <w:r w:rsidRPr="00C20C9E">
        <w:t>technology</w:t>
      </w:r>
      <w:proofErr w:type="gramEnd"/>
      <w:r w:rsidRPr="00C20C9E">
        <w:t xml:space="preserve"> may still use a</w:t>
      </w:r>
      <w:r>
        <w:t xml:space="preserve"> technology-specific</w:t>
      </w:r>
      <w:r w:rsidRPr="00C20C9E">
        <w:t xml:space="preserve"> preamble </w:t>
      </w:r>
      <w:r>
        <w:t xml:space="preserve">for </w:t>
      </w:r>
      <w:r w:rsidRPr="00C20C9E">
        <w:t xml:space="preserve">detection at a threshold </w:t>
      </w:r>
      <w:r w:rsidR="00242AD3">
        <w:t xml:space="preserve">at or </w:t>
      </w:r>
      <w:r w:rsidRPr="00C20C9E">
        <w:t xml:space="preserve">lower than the </w:t>
      </w:r>
      <w:r>
        <w:t>harmonized</w:t>
      </w:r>
      <w:r w:rsidRPr="00C20C9E">
        <w:t xml:space="preserve"> ED threshold.</w:t>
      </w:r>
      <w:bookmarkEnd w:id="79"/>
      <w:bookmarkEnd w:id="80"/>
      <w:bookmarkEnd w:id="81"/>
      <w:bookmarkEnd w:id="82"/>
      <w:bookmarkEnd w:id="83"/>
      <w:bookmarkEnd w:id="84"/>
    </w:p>
    <w:p w14:paraId="14DC8056" w14:textId="75B6A861" w:rsidR="00286704" w:rsidRDefault="00286704" w:rsidP="006E52F0">
      <w:r>
        <w:t xml:space="preserve">The use of a single common ED threshold by different technologies has been discussed in the past. It was </w:t>
      </w:r>
      <w:r w:rsidR="00E92CE2">
        <w:t>discussed during the development of the harmonized standard in ETSI BRAN where an ED threshold of -72 dBm was required and an exception was provided to IEEE technologies to be able to use a dual threshold for preamble and energy detection. As part of the discussions</w:t>
      </w:r>
      <w:r w:rsidR="00A75D1D">
        <w:t>,</w:t>
      </w:r>
      <w:r w:rsidR="00E92CE2">
        <w:t xml:space="preserve"> a compromise was reached in ETSI BRAN </w:t>
      </w:r>
      <w:r w:rsidR="00E92CE2">
        <w:fldChar w:fldCharType="begin"/>
      </w:r>
      <w:r w:rsidR="00E92CE2">
        <w:instrText xml:space="preserve"> REF _Ref531192600 \r \h </w:instrText>
      </w:r>
      <w:r w:rsidR="00E92CE2">
        <w:fldChar w:fldCharType="separate"/>
      </w:r>
      <w:r w:rsidR="00981DF8">
        <w:t>[13]</w:t>
      </w:r>
      <w:r w:rsidR="00E92CE2">
        <w:fldChar w:fldCharType="end"/>
      </w:r>
      <w:r w:rsidR="00E92CE2">
        <w:t xml:space="preserve"> to remove this exception as part of the next revisi</w:t>
      </w:r>
      <w:bookmarkStart w:id="85" w:name="_GoBack"/>
      <w:bookmarkEnd w:id="85"/>
      <w:r w:rsidR="00E92CE2">
        <w:t xml:space="preserve">on of the standard which would then have required all technologies to use a common ED threshold. </w:t>
      </w:r>
      <w:bookmarkStart w:id="86" w:name="_Hlk531278731"/>
      <w:r w:rsidR="00E92CE2">
        <w:t xml:space="preserve">A liaison statement was also sent to the IEEE </w:t>
      </w:r>
      <w:r w:rsidR="005662B8">
        <w:fldChar w:fldCharType="begin"/>
      </w:r>
      <w:r w:rsidR="005662B8">
        <w:instrText xml:space="preserve"> REF _Ref531193059 \r \h </w:instrText>
      </w:r>
      <w:r w:rsidR="005662B8">
        <w:fldChar w:fldCharType="separate"/>
      </w:r>
      <w:r w:rsidR="00981DF8">
        <w:t>[14]</w:t>
      </w:r>
      <w:r w:rsidR="005662B8">
        <w:fldChar w:fldCharType="end"/>
      </w:r>
      <w:r w:rsidR="008348DD">
        <w:t xml:space="preserve"> with the following request</w:t>
      </w:r>
      <w:r w:rsidR="005662B8">
        <w:t>:</w:t>
      </w:r>
    </w:p>
    <w:p w14:paraId="433B8239" w14:textId="7F314D27" w:rsidR="00E92CE2" w:rsidRDefault="00E92CE2" w:rsidP="00A75D1D">
      <w:pPr>
        <w:ind w:left="567"/>
      </w:pPr>
      <w:r>
        <w:rPr>
          <w:rFonts w:cs="Arial"/>
        </w:rPr>
        <w:t>“</w:t>
      </w:r>
      <w:r w:rsidRPr="00A75D1D">
        <w:rPr>
          <w:rFonts w:cs="Arial"/>
          <w:i/>
        </w:rPr>
        <w:t>RAN1 respectfully requests future IEEE 802.11 technologies to align the energy detection threshold used with other technologies operating in the same unlicensed band, e.g., -72 dBm. An energy detection threshold of -72 dBm has been chosen by 3GPP for Rel-13 LAA also with an interest in aligning with other technologies in the future.</w:t>
      </w:r>
      <w:r>
        <w:rPr>
          <w:rFonts w:cs="Arial"/>
        </w:rPr>
        <w:t>”</w:t>
      </w:r>
    </w:p>
    <w:p w14:paraId="3E743EA3" w14:textId="1045BEB6" w:rsidR="005662B8" w:rsidRDefault="008348DD" w:rsidP="006E52F0">
      <w:r>
        <w:t xml:space="preserve">The IEEE duly considered the request and declined to reduce the ED threshold for IEEE 802.11ax </w:t>
      </w:r>
      <w:r>
        <w:fldChar w:fldCharType="begin"/>
      </w:r>
      <w:r>
        <w:instrText xml:space="preserve"> REF _Ref531193923 \r \h </w:instrText>
      </w:r>
      <w:r>
        <w:fldChar w:fldCharType="separate"/>
      </w:r>
      <w:r w:rsidR="00981DF8">
        <w:t>[15]</w:t>
      </w:r>
      <w:r>
        <w:fldChar w:fldCharType="end"/>
      </w:r>
      <w:r>
        <w:t xml:space="preserve"> due to concerns on coexistence with already deployed 802.11 devices. The reasoning was explained as follows in </w:t>
      </w:r>
      <w:r>
        <w:fldChar w:fldCharType="begin"/>
      </w:r>
      <w:r>
        <w:instrText xml:space="preserve"> REF _Ref531194234 \r \h </w:instrText>
      </w:r>
      <w:r>
        <w:fldChar w:fldCharType="separate"/>
      </w:r>
      <w:r w:rsidR="00981DF8">
        <w:t>[16]</w:t>
      </w:r>
      <w:r>
        <w:fldChar w:fldCharType="end"/>
      </w:r>
      <w:r w:rsidR="00A36CF9">
        <w:t>:</w:t>
      </w:r>
    </w:p>
    <w:p w14:paraId="01B8C0B7" w14:textId="2D7D14DE" w:rsidR="008348DD" w:rsidRDefault="008348DD" w:rsidP="00A75D1D">
      <w:pPr>
        <w:ind w:left="567"/>
      </w:pPr>
      <w:r>
        <w:t>“</w:t>
      </w:r>
      <w:r w:rsidRPr="00A75D1D">
        <w:rPr>
          <w:i/>
        </w:rPr>
        <w:t>IEEE 802 declined 3GPP RAN1’s request because it would put 802.11ax systems at a disadvantage compared to billions of existing and future 802.11a/n/ac systems using an ED threshold of -62 dBm and at a disadvantage to any LAA systems not detecting 802.11 preambles at -82 dBm.</w:t>
      </w:r>
      <w:r>
        <w:t>”</w:t>
      </w:r>
    </w:p>
    <w:p w14:paraId="72476A0E" w14:textId="0FD97104" w:rsidR="008348DD" w:rsidRDefault="00A36CF9" w:rsidP="006E52F0">
      <w:r>
        <w:t>As can be seen from the above, the primary obstacle to adoption of the best technical solution, i.e., a common single threshold for all technologies, has been the presence of deployed devices in 5 GHz</w:t>
      </w:r>
      <w:r w:rsidR="00D40A02">
        <w:t xml:space="preserve"> and considerations of coexistence and backward compatibility with these devices</w:t>
      </w:r>
      <w:r>
        <w:t xml:space="preserve">. The greenfield spectrum in 6 GHz does not have any of these problems and provides an excellent opportunity for adoption of a regime that is beneficial to all. </w:t>
      </w:r>
      <w:bookmarkEnd w:id="86"/>
      <w:r w:rsidR="00B014BB">
        <w:t xml:space="preserve">Once again, we point out that even with a harmonized ED threshold, if a </w:t>
      </w:r>
      <w:proofErr w:type="gramStart"/>
      <w:r w:rsidR="00B014BB">
        <w:t>particular technology</w:t>
      </w:r>
      <w:proofErr w:type="gramEnd"/>
      <w:r w:rsidR="00B014BB">
        <w:t xml:space="preserve">, e.g., 802.11ax, prefers to use preambles to detect nodes of the same technology, this may still be done as a technology choice. In this case, the node may defer to other nodes </w:t>
      </w:r>
      <w:r w:rsidR="00A236A0">
        <w:t xml:space="preserve">of the same technology </w:t>
      </w:r>
      <w:r w:rsidR="00B014BB">
        <w:t>transmitting preambles at the same level as the common ED level or at a lower level.</w:t>
      </w:r>
      <w:r>
        <w:t xml:space="preserve"> </w:t>
      </w:r>
    </w:p>
    <w:p w14:paraId="525E1020" w14:textId="00740172" w:rsidR="00332F9D" w:rsidRDefault="00332F9D" w:rsidP="006E52F0">
      <w:r>
        <w:t>Based on th</w:t>
      </w:r>
      <w:r w:rsidR="00A36CF9">
        <w:t>e above discussion,</w:t>
      </w:r>
      <w:r>
        <w:t xml:space="preserve"> we propose to send </w:t>
      </w:r>
      <w:proofErr w:type="gramStart"/>
      <w:r>
        <w:t>an</w:t>
      </w:r>
      <w:proofErr w:type="gramEnd"/>
      <w:r>
        <w:t xml:space="preserve"> LS to the IEEE </w:t>
      </w:r>
      <w:r w:rsidR="0093476D">
        <w:t xml:space="preserve">suggesting joint-consideration of </w:t>
      </w:r>
      <w:r>
        <w:t>a</w:t>
      </w:r>
      <w:r w:rsidR="0093476D">
        <w:t xml:space="preserve"> harmonized</w:t>
      </w:r>
      <w:r>
        <w:t xml:space="preserve"> ED threshold </w:t>
      </w:r>
      <w:r w:rsidR="0093476D">
        <w:t xml:space="preserve">between 3GPP technologies (NR-U and LTE-LAA) and </w:t>
      </w:r>
      <w:r>
        <w:t>IEEE technologies (e.g., 802.11ax) operating in the 6 G</w:t>
      </w:r>
      <w:r w:rsidR="008348DD">
        <w:t>H</w:t>
      </w:r>
      <w:r>
        <w:t>z band.</w:t>
      </w:r>
    </w:p>
    <w:p w14:paraId="7A8B3AE1" w14:textId="7491880A" w:rsidR="00332F9D" w:rsidRDefault="00F93A23" w:rsidP="0093476D">
      <w:pPr>
        <w:pStyle w:val="Proposal"/>
        <w:tabs>
          <w:tab w:val="clear" w:pos="1304"/>
        </w:tabs>
        <w:ind w:left="1701" w:hanging="1701"/>
      </w:pPr>
      <w:bookmarkStart w:id="87" w:name="_Toc531115485"/>
      <w:bookmarkStart w:id="88" w:name="_Toc531115582"/>
      <w:bookmarkStart w:id="89" w:name="_Toc531115673"/>
      <w:bookmarkStart w:id="90" w:name="_Toc531296366"/>
      <w:bookmarkStart w:id="91" w:name="_Toc531296488"/>
      <w:bookmarkStart w:id="92" w:name="_Toc531610958"/>
      <w:r>
        <w:t>S</w:t>
      </w:r>
      <w:r w:rsidR="00332F9D">
        <w:t xml:space="preserve">end </w:t>
      </w:r>
      <w:proofErr w:type="gramStart"/>
      <w:r w:rsidR="00332F9D">
        <w:t>an</w:t>
      </w:r>
      <w:proofErr w:type="gramEnd"/>
      <w:r w:rsidR="00332F9D">
        <w:t xml:space="preserve"> LS to IEEE </w:t>
      </w:r>
      <w:r w:rsidR="0093476D">
        <w:t>suggesting joint-</w:t>
      </w:r>
      <w:r w:rsidR="00332F9D">
        <w:t>consideration of a harmonized ED threshold between</w:t>
      </w:r>
      <w:r w:rsidR="0093476D">
        <w:t xml:space="preserve"> 3GPP technologies (NR-U and LTE-LAA) and IEEE technologies (e.g., 802.11ax) operating in the 6 GHz band.</w:t>
      </w:r>
      <w:bookmarkEnd w:id="87"/>
      <w:bookmarkEnd w:id="88"/>
      <w:bookmarkEnd w:id="89"/>
      <w:bookmarkEnd w:id="90"/>
      <w:bookmarkEnd w:id="91"/>
      <w:bookmarkEnd w:id="92"/>
    </w:p>
    <w:p w14:paraId="0E1CEFC8" w14:textId="06D6E316" w:rsidR="0085736D" w:rsidRDefault="0085736D">
      <w:pPr>
        <w:overflowPunct/>
        <w:autoSpaceDE/>
        <w:autoSpaceDN/>
        <w:adjustRightInd/>
        <w:spacing w:after="0"/>
        <w:jc w:val="left"/>
        <w:textAlignment w:val="auto"/>
      </w:pPr>
      <w:r>
        <w:br w:type="page"/>
      </w:r>
    </w:p>
    <w:p w14:paraId="41EB6CF5" w14:textId="775D9D2B" w:rsidR="009705A9" w:rsidRDefault="00C01F33" w:rsidP="008E065E">
      <w:pPr>
        <w:pStyle w:val="Heading1"/>
      </w:pPr>
      <w:r w:rsidRPr="00CE0424">
        <w:lastRenderedPageBreak/>
        <w:t>Conclusion</w:t>
      </w:r>
      <w:r w:rsidR="00521FE6">
        <w:t>s</w:t>
      </w:r>
    </w:p>
    <w:p w14:paraId="64226DB9" w14:textId="33E40263" w:rsidR="008F7909" w:rsidRDefault="008F7909" w:rsidP="008F7909">
      <w:r>
        <w:t>In this paper, we observed the following:</w:t>
      </w:r>
    </w:p>
    <w:p w14:paraId="51DEF84D" w14:textId="77777777" w:rsidR="00C66B88" w:rsidRDefault="006E52F0">
      <w:pPr>
        <w:pStyle w:val="TOC1"/>
        <w:rPr>
          <w:rFonts w:asciiTheme="minorHAnsi" w:eastAsiaTheme="minorEastAsia" w:hAnsiTheme="minorHAnsi" w:cstheme="minorBidi"/>
          <w:b w:val="0"/>
          <w:sz w:val="22"/>
          <w:lang w:eastAsia="en-US"/>
        </w:rPr>
      </w:pPr>
      <w:r>
        <w:fldChar w:fldCharType="begin"/>
      </w:r>
      <w:r>
        <w:instrText xml:space="preserve"> TOC \n \t "Observation,1" </w:instrText>
      </w:r>
      <w:r>
        <w:fldChar w:fldCharType="separate"/>
      </w:r>
      <w:r w:rsidR="00C66B88">
        <w:t>Observation 1</w:t>
      </w:r>
      <w:r w:rsidR="00C66B88">
        <w:rPr>
          <w:rFonts w:asciiTheme="minorHAnsi" w:eastAsiaTheme="minorEastAsia" w:hAnsiTheme="minorHAnsi" w:cstheme="minorBidi"/>
          <w:b w:val="0"/>
          <w:sz w:val="22"/>
          <w:lang w:eastAsia="en-US"/>
        </w:rPr>
        <w:tab/>
      </w:r>
      <w:r w:rsidR="00C66B88">
        <w:t>30 kHz SCS offers greater deployment flexibility than 60 kHz + NCP. The latter breaks down for RMS delay spreads larger than 500 ns, thus limiting peak rates in outdoor deployments.</w:t>
      </w:r>
    </w:p>
    <w:p w14:paraId="71E889F8" w14:textId="77777777" w:rsidR="00C66B88" w:rsidRDefault="00C66B8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30 kHz SCS for SS/PBCH blocks, which is already supported in NR Rel-15 specifications, is the only viable candidate for initial access in a standalone deployment. This ensures that NR-U is able to operate in a broad range of deployments.</w:t>
      </w:r>
    </w:p>
    <w:p w14:paraId="0101F3CC" w14:textId="77777777" w:rsidR="00C66B88" w:rsidRDefault="00C66B88">
      <w:pPr>
        <w:pStyle w:val="TOC1"/>
        <w:rPr>
          <w:rFonts w:asciiTheme="minorHAnsi" w:eastAsiaTheme="minorEastAsia" w:hAnsiTheme="minorHAnsi" w:cstheme="minorBidi"/>
          <w:b w:val="0"/>
          <w:sz w:val="22"/>
          <w:lang w:eastAsia="en-US"/>
        </w:rPr>
      </w:pPr>
      <w:r w:rsidRPr="001C6012">
        <w:t>Observation 3</w:t>
      </w:r>
      <w:r>
        <w:rPr>
          <w:rFonts w:asciiTheme="minorHAnsi" w:eastAsiaTheme="minorEastAsia" w:hAnsiTheme="minorHAnsi" w:cstheme="minorBidi"/>
          <w:b w:val="0"/>
          <w:sz w:val="22"/>
          <w:lang w:eastAsia="en-US"/>
        </w:rPr>
        <w:tab/>
      </w:r>
      <w:r w:rsidRPr="001C6012">
        <w:t>30 kHz SCS offers the best trade-off between channel access granularity and spectrum utilization even for deployments where the limited cyclic prefix for 60 kHz is not a factor. The largest gain in user throughput is achieved by increasing the SCS from 15 kHz to 30 kHz. Diminishing returns are achieved by increasing further from 30 kHz to 60 kHz.</w:t>
      </w:r>
    </w:p>
    <w:p w14:paraId="42F28099" w14:textId="77777777" w:rsidR="00C66B88" w:rsidRDefault="00C66B8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Support for 60 kHz SCS for NR-U requires extensive RAN1 specification effort</w:t>
      </w:r>
    </w:p>
    <w:p w14:paraId="6C3C3CDB" w14:textId="77777777" w:rsidR="00C66B88" w:rsidRDefault="00C66B8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Multiple active BWPs has significant RAN2 specification impact.</w:t>
      </w:r>
    </w:p>
    <w:p w14:paraId="5DF7899B" w14:textId="77777777" w:rsidR="00C66B88" w:rsidRDefault="00C66B8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Unlicensed 6 GHz spectrum is greenfield spectrum. Consequently, technology neutral channel access mechanisms should be adopted for unlicensed technologies operating in the band. Good coexistence is more effectively achieved by building on the channel access mechanisms already defined for the 5 GHz band rather than attempting to define new technology neutral coexistence criteria.</w:t>
      </w:r>
    </w:p>
    <w:p w14:paraId="7C66D672" w14:textId="77777777" w:rsidR="00C66B88" w:rsidRDefault="00C66B88">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Technology neutral channel access based on the use of a harmonized ED threshold is a key aspect for good coexistence amongst technologies operating in the 6 GHz band. A particular technology may still use a technology-specific preamble for detection at a threshold at or lower than the harmonized ED threshold.</w:t>
      </w:r>
    </w:p>
    <w:p w14:paraId="4D3C4EFB" w14:textId="51EB7B1D" w:rsidR="008F7909" w:rsidRPr="008F7909" w:rsidRDefault="006E52F0" w:rsidP="008F7909">
      <w:r>
        <w:fldChar w:fldCharType="end"/>
      </w:r>
    </w:p>
    <w:p w14:paraId="55E93E11" w14:textId="761FE419" w:rsidR="00033825" w:rsidRDefault="008E065E" w:rsidP="00780A21">
      <w:pPr>
        <w:pStyle w:val="BodyText"/>
      </w:pPr>
      <w:r w:rsidRPr="00CE0424">
        <w:t>Based on the discussion</w:t>
      </w:r>
      <w:r w:rsidR="008F7909">
        <w:t xml:space="preserve"> in this paper we </w:t>
      </w:r>
      <w:r w:rsidR="00E77D16">
        <w:t>made the following proposals affecting the scope of the NR WI:</w:t>
      </w:r>
    </w:p>
    <w:p w14:paraId="7910FE3B" w14:textId="77777777" w:rsidR="00C66B88" w:rsidRDefault="008E065E">
      <w:pPr>
        <w:pStyle w:val="TOC1"/>
        <w:rPr>
          <w:rFonts w:asciiTheme="minorHAnsi" w:eastAsiaTheme="minorEastAsia" w:hAnsiTheme="minorHAnsi" w:cstheme="minorBidi"/>
          <w:b w:val="0"/>
          <w:sz w:val="22"/>
          <w:lang w:eastAsia="en-US"/>
        </w:rPr>
      </w:pPr>
      <w:r>
        <w:rPr>
          <w:b w:val="0"/>
          <w:bCs/>
        </w:rPr>
        <w:fldChar w:fldCharType="begin"/>
      </w:r>
      <w:r w:rsidR="005B06D4">
        <w:rPr>
          <w:bCs/>
        </w:rPr>
        <w:instrText xml:space="preserve"> TOC \f \n \p " " \t "Proposal</w:instrText>
      </w:r>
      <w:r>
        <w:rPr>
          <w:bCs/>
        </w:rPr>
        <w:instrText xml:space="preserve">" </w:instrText>
      </w:r>
      <w:r>
        <w:rPr>
          <w:b w:val="0"/>
          <w:bCs/>
        </w:rPr>
        <w:fldChar w:fldCharType="separate"/>
      </w:r>
      <w:r w:rsidR="00C66B88">
        <w:t>Proposal 1</w:t>
      </w:r>
      <w:r w:rsidR="00C66B88">
        <w:rPr>
          <w:rFonts w:asciiTheme="minorHAnsi" w:eastAsiaTheme="minorEastAsia" w:hAnsiTheme="minorHAnsi" w:cstheme="minorBidi"/>
          <w:b w:val="0"/>
          <w:sz w:val="22"/>
          <w:lang w:eastAsia="en-US"/>
        </w:rPr>
        <w:tab/>
      </w:r>
      <w:r w:rsidR="00C66B88">
        <w:t>15 and 30 kHz SCS are prioritized for NR-U PHY layer channel design and PHY layer procedure design. 60 kHz SCS is deprioritized during the WI.</w:t>
      </w:r>
    </w:p>
    <w:p w14:paraId="1BF62535" w14:textId="77777777" w:rsidR="00C66B88" w:rsidRDefault="00C66B8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Multiple active BWPs are excluded from the WI scope.</w:t>
      </w:r>
    </w:p>
    <w:p w14:paraId="4CFE1AD3" w14:textId="77777777" w:rsidR="00C66B88" w:rsidRDefault="00C66B8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Send an LS to IEEE suggesting joint-consideration of a harmonized ED threshold between 3GPP technologies (NR-U and LTE-LAA) and IEEE technologies (e.g., 802.11ax) operating in the 6 GHz band.</w:t>
      </w:r>
    </w:p>
    <w:p w14:paraId="6A9B0059" w14:textId="4219F677" w:rsidR="00C97E18" w:rsidRPr="00B957A0" w:rsidRDefault="008E065E" w:rsidP="00B957A0">
      <w:pPr>
        <w:rPr>
          <w:b/>
          <w:bCs/>
        </w:rPr>
      </w:pPr>
      <w:r>
        <w:rPr>
          <w:b/>
          <w:bCs/>
        </w:rPr>
        <w:fldChar w:fldCharType="end"/>
      </w:r>
      <w:bookmarkStart w:id="93" w:name="_In-sequence_SDU_delivery"/>
      <w:bookmarkStart w:id="94" w:name="_Ref174151459"/>
      <w:bookmarkStart w:id="95" w:name="_Ref189809556"/>
      <w:bookmarkEnd w:id="93"/>
    </w:p>
    <w:p w14:paraId="6F5C0ACB" w14:textId="4598E228" w:rsidR="00E11163" w:rsidRDefault="00E11163" w:rsidP="00E11163">
      <w:pPr>
        <w:pStyle w:val="Heading1"/>
      </w:pPr>
      <w:bookmarkStart w:id="96" w:name="_Hlk531278929"/>
      <w:bookmarkEnd w:id="94"/>
      <w:bookmarkEnd w:id="95"/>
      <w:r>
        <w:t>References</w:t>
      </w:r>
    </w:p>
    <w:p w14:paraId="3C2843AF" w14:textId="76F523A0" w:rsidR="006E6DDA" w:rsidRDefault="00AA6158" w:rsidP="00780A21">
      <w:pPr>
        <w:pStyle w:val="Reference"/>
        <w:numPr>
          <w:ilvl w:val="0"/>
          <w:numId w:val="30"/>
        </w:numPr>
        <w:textAlignment w:val="auto"/>
      </w:pPr>
      <w:bookmarkStart w:id="97" w:name="_Ref531088864"/>
      <w:r>
        <w:t xml:space="preserve">3GPP </w:t>
      </w:r>
      <w:r w:rsidR="00780A21">
        <w:t>TR 38.3389, “</w:t>
      </w:r>
      <w:r w:rsidRPr="00AA6158">
        <w:t>Study on NR-based Access to Unlicensed Spectrum</w:t>
      </w:r>
      <w:r>
        <w:t>,” v.</w:t>
      </w:r>
      <w:r w:rsidR="00682DE6">
        <w:t>1</w:t>
      </w:r>
      <w:r>
        <w:t>.</w:t>
      </w:r>
      <w:r w:rsidR="00682DE6">
        <w:t>0</w:t>
      </w:r>
      <w:r>
        <w:t>.0, November 2018.</w:t>
      </w:r>
      <w:bookmarkEnd w:id="97"/>
    </w:p>
    <w:p w14:paraId="656922A3" w14:textId="2710AC8C" w:rsidR="00780A21" w:rsidRDefault="00AA6158" w:rsidP="00AA6158">
      <w:pPr>
        <w:pStyle w:val="Reference"/>
        <w:numPr>
          <w:ilvl w:val="0"/>
          <w:numId w:val="30"/>
        </w:numPr>
        <w:textAlignment w:val="auto"/>
      </w:pPr>
      <w:bookmarkStart w:id="98" w:name="_Ref531088877"/>
      <w:r w:rsidRPr="00AA6158">
        <w:t>R1-1814340</w:t>
      </w:r>
      <w:r>
        <w:t>, “LS on study item completion of NR-U,” RAN1, RAN1#95, November 2018.</w:t>
      </w:r>
      <w:bookmarkEnd w:id="98"/>
    </w:p>
    <w:p w14:paraId="45B8471C" w14:textId="67DC4148" w:rsidR="00AA6158" w:rsidRDefault="00AA6158" w:rsidP="00AA6158">
      <w:pPr>
        <w:pStyle w:val="Reference"/>
        <w:numPr>
          <w:ilvl w:val="0"/>
          <w:numId w:val="30"/>
        </w:numPr>
        <w:textAlignment w:val="auto"/>
      </w:pPr>
      <w:bookmarkStart w:id="99" w:name="_Ref531088889"/>
      <w:r w:rsidRPr="00C66B88">
        <w:t>RP-18</w:t>
      </w:r>
      <w:r w:rsidR="00C66B88" w:rsidRPr="00C66B88">
        <w:t>2400</w:t>
      </w:r>
      <w:r>
        <w:t>, “</w:t>
      </w:r>
      <w:r w:rsidRPr="00AA6158">
        <w:t>WID on NR-based Access to Unlicensed Spectrum</w:t>
      </w:r>
      <w:r>
        <w:t>,” Qualcomm, RAN#82, December 2018.</w:t>
      </w:r>
      <w:bookmarkEnd w:id="99"/>
    </w:p>
    <w:p w14:paraId="0429130A" w14:textId="77777777" w:rsidR="00C62DF2" w:rsidRDefault="00C62DF2" w:rsidP="00C62DF2">
      <w:pPr>
        <w:pStyle w:val="Reference"/>
        <w:numPr>
          <w:ilvl w:val="0"/>
          <w:numId w:val="30"/>
        </w:numPr>
      </w:pPr>
      <w:bookmarkStart w:id="100" w:name="_Ref525732218"/>
      <w:bookmarkStart w:id="101" w:name="_Ref525647225"/>
      <w:r>
        <w:t>A. Simonson, H. Asplund, J. Medbo, and K. Werner, “Beamforming impact on time dispersion assessed on measured channels,” IEEE Vehicular Technology Conference, Porto, Portugal, June 2018.</w:t>
      </w:r>
      <w:bookmarkEnd w:id="100"/>
    </w:p>
    <w:p w14:paraId="03DB03AF" w14:textId="755C5758" w:rsidR="00C62DF2" w:rsidRDefault="00C62DF2" w:rsidP="00C62DF2">
      <w:pPr>
        <w:pStyle w:val="Reference"/>
        <w:numPr>
          <w:ilvl w:val="0"/>
          <w:numId w:val="30"/>
        </w:numPr>
      </w:pPr>
      <w:bookmarkStart w:id="102" w:name="_Ref525734136"/>
      <w:r>
        <w:t>R1-164621, “</w:t>
      </w:r>
      <w:r w:rsidRPr="00430D8F">
        <w:t>On a 30kHz subcarrier spacing option for NR</w:t>
      </w:r>
      <w:r>
        <w:t>,” Ericsson, RAN1#85, May 2016.</w:t>
      </w:r>
      <w:bookmarkEnd w:id="101"/>
      <w:bookmarkEnd w:id="102"/>
    </w:p>
    <w:p w14:paraId="728FBA16" w14:textId="46A6271A" w:rsidR="0033441B" w:rsidRDefault="0033441B" w:rsidP="00C62DF2">
      <w:pPr>
        <w:pStyle w:val="Reference"/>
        <w:numPr>
          <w:ilvl w:val="0"/>
          <w:numId w:val="30"/>
        </w:numPr>
      </w:pPr>
      <w:bookmarkStart w:id="103" w:name="_Ref531097386"/>
      <w:r>
        <w:t>R1-1814019, “Frame structure for NR-U,” Ericsson, RAN1#95, November 2018.</w:t>
      </w:r>
      <w:bookmarkEnd w:id="103"/>
    </w:p>
    <w:p w14:paraId="6F36FB5E" w14:textId="69429E03" w:rsidR="006B0857" w:rsidRDefault="006B0857" w:rsidP="00C62DF2">
      <w:pPr>
        <w:pStyle w:val="Reference"/>
        <w:numPr>
          <w:ilvl w:val="0"/>
          <w:numId w:val="30"/>
        </w:numPr>
      </w:pPr>
      <w:bookmarkStart w:id="104" w:name="_Ref531104501"/>
      <w:r>
        <w:t>R4-1816658, “</w:t>
      </w:r>
      <w:r w:rsidRPr="006B0857">
        <w:t>Reply LS on wideband carrier operation for NR-U</w:t>
      </w:r>
      <w:r>
        <w:t>,” RAN4, RAN4#89, November 2018.</w:t>
      </w:r>
      <w:bookmarkEnd w:id="104"/>
    </w:p>
    <w:p w14:paraId="3BB4C177" w14:textId="5FFDE9F8" w:rsidR="00754930" w:rsidRDefault="00754930" w:rsidP="00C62DF2">
      <w:pPr>
        <w:pStyle w:val="Reference"/>
        <w:numPr>
          <w:ilvl w:val="0"/>
          <w:numId w:val="30"/>
        </w:numPr>
      </w:pPr>
      <w:bookmarkStart w:id="105" w:name="_Ref528951568"/>
      <w:r>
        <w:t>R2-1817970, “MAC impact with multiple active BWPs,” Ericsson, RAN2#104, November 2018.</w:t>
      </w:r>
      <w:bookmarkEnd w:id="105"/>
    </w:p>
    <w:p w14:paraId="2B05A5A3" w14:textId="148D0EAE" w:rsidR="00F96347" w:rsidRDefault="00AD50EB" w:rsidP="00C62DF2">
      <w:pPr>
        <w:pStyle w:val="Reference"/>
        <w:numPr>
          <w:ilvl w:val="0"/>
          <w:numId w:val="30"/>
        </w:numPr>
      </w:pPr>
      <w:bookmarkStart w:id="106" w:name="_Ref531299514"/>
      <w:r>
        <w:t>R1-1814021, “On the use of a preamble for NR-U,” Ericsson, RAN1#95, November 2018.</w:t>
      </w:r>
      <w:bookmarkEnd w:id="106"/>
    </w:p>
    <w:p w14:paraId="12C8D9F8" w14:textId="4705E314" w:rsidR="00AD50EB" w:rsidRDefault="00AD50EB" w:rsidP="00C62DF2">
      <w:pPr>
        <w:pStyle w:val="Reference"/>
        <w:numPr>
          <w:ilvl w:val="0"/>
          <w:numId w:val="30"/>
        </w:numPr>
      </w:pPr>
      <w:bookmarkStart w:id="107" w:name="_Ref531299516"/>
      <w:r>
        <w:lastRenderedPageBreak/>
        <w:t>R1-1812975, “</w:t>
      </w:r>
      <w:r w:rsidRPr="00AD50EB">
        <w:t>Downlink signal and channel design for NR-U</w:t>
      </w:r>
      <w:r>
        <w:t>,” Samsung, RAN1#95, November 2018.</w:t>
      </w:r>
      <w:bookmarkEnd w:id="107"/>
    </w:p>
    <w:p w14:paraId="33F8E539" w14:textId="21265EE8" w:rsidR="00AD50EB" w:rsidRDefault="00AD50EB" w:rsidP="00C62DF2">
      <w:pPr>
        <w:pStyle w:val="Reference"/>
        <w:numPr>
          <w:ilvl w:val="0"/>
          <w:numId w:val="30"/>
        </w:numPr>
      </w:pPr>
      <w:bookmarkStart w:id="108" w:name="_Ref531299518"/>
      <w:r>
        <w:t>R1-1813541, “</w:t>
      </w:r>
      <w:r w:rsidRPr="00AD50EB">
        <w:t>On preambles for NR-U</w:t>
      </w:r>
      <w:r>
        <w:t>,” Nokia, Nokia Shanghai Bell, RAN1#95, November 2018.</w:t>
      </w:r>
      <w:bookmarkEnd w:id="108"/>
    </w:p>
    <w:p w14:paraId="448818ED" w14:textId="606777EA" w:rsidR="00FB458A" w:rsidRDefault="00FB458A" w:rsidP="00C62DF2">
      <w:pPr>
        <w:pStyle w:val="Reference"/>
        <w:numPr>
          <w:ilvl w:val="0"/>
          <w:numId w:val="30"/>
        </w:numPr>
      </w:pPr>
      <w:bookmarkStart w:id="109" w:name="_Ref531113230"/>
      <w:r>
        <w:t>R1-1814020, “Channel access mechanisms for NR-U,” Ericsson, RAN1#95, November 2018.</w:t>
      </w:r>
      <w:bookmarkEnd w:id="109"/>
    </w:p>
    <w:p w14:paraId="7C702698" w14:textId="4DE72028" w:rsidR="00DB0814" w:rsidRPr="002201C3" w:rsidRDefault="00E92CE2" w:rsidP="00C62DF2">
      <w:pPr>
        <w:pStyle w:val="Reference"/>
        <w:numPr>
          <w:ilvl w:val="0"/>
          <w:numId w:val="30"/>
        </w:numPr>
      </w:pPr>
      <w:bookmarkStart w:id="110" w:name="_Ref531192600"/>
      <w:proofErr w:type="gramStart"/>
      <w:r>
        <w:rPr>
          <w:rFonts w:cs="Arial"/>
        </w:rPr>
        <w:t>BRAN(</w:t>
      </w:r>
      <w:proofErr w:type="gramEnd"/>
      <w:r>
        <w:rPr>
          <w:rFonts w:cs="Arial"/>
        </w:rPr>
        <w:t>15)000200r3, “Agreed Compromise on Adaptivity”, ETSI BRAN 85.</w:t>
      </w:r>
      <w:bookmarkEnd w:id="110"/>
    </w:p>
    <w:p w14:paraId="36C98329" w14:textId="1BEC723F" w:rsidR="00E92CE2" w:rsidRPr="002201C3" w:rsidRDefault="00E92CE2" w:rsidP="00C62DF2">
      <w:pPr>
        <w:pStyle w:val="Reference"/>
        <w:numPr>
          <w:ilvl w:val="0"/>
          <w:numId w:val="30"/>
        </w:numPr>
      </w:pPr>
      <w:bookmarkStart w:id="111" w:name="_Ref531193059"/>
      <w:r>
        <w:t>R1-166040, “</w:t>
      </w:r>
      <w:r>
        <w:rPr>
          <w:rFonts w:cs="Arial"/>
        </w:rPr>
        <w:t>R</w:t>
      </w:r>
      <w:r w:rsidRPr="000063E6">
        <w:rPr>
          <w:rFonts w:cs="Arial"/>
        </w:rPr>
        <w:t>espo</w:t>
      </w:r>
      <w:r>
        <w:rPr>
          <w:rFonts w:cs="Arial"/>
        </w:rPr>
        <w:t>nse LS to IEEE 802.</w:t>
      </w:r>
      <w:r w:rsidRPr="000063E6">
        <w:rPr>
          <w:rFonts w:cs="Arial"/>
        </w:rPr>
        <w:t>11 regarding LAA</w:t>
      </w:r>
      <w:r>
        <w:rPr>
          <w:rFonts w:cs="Arial"/>
        </w:rPr>
        <w:t>”, 3GPP RAN1, May 2016</w:t>
      </w:r>
      <w:bookmarkEnd w:id="111"/>
    </w:p>
    <w:p w14:paraId="58E78F1C" w14:textId="7ECEBB0B" w:rsidR="005662B8" w:rsidRDefault="005662B8" w:rsidP="00C62DF2">
      <w:pPr>
        <w:pStyle w:val="Reference"/>
        <w:numPr>
          <w:ilvl w:val="0"/>
          <w:numId w:val="30"/>
        </w:numPr>
      </w:pPr>
      <w:bookmarkStart w:id="112" w:name="_Ref531193923"/>
      <w:r w:rsidRPr="005662B8">
        <w:t>IEEE EC-16-0203-00-00EC, IEEE 802 LMSC response LS on energy detection threshold in future 802.11 technologies, 14 November 2016</w:t>
      </w:r>
      <w:bookmarkEnd w:id="112"/>
    </w:p>
    <w:p w14:paraId="3EA887D2" w14:textId="5118CD2C" w:rsidR="00C41139" w:rsidRDefault="008348DD" w:rsidP="00C41139">
      <w:pPr>
        <w:pStyle w:val="Reference"/>
        <w:numPr>
          <w:ilvl w:val="0"/>
          <w:numId w:val="30"/>
        </w:numPr>
      </w:pPr>
      <w:bookmarkStart w:id="113" w:name="_Ref531194234"/>
      <w:r w:rsidRPr="008348DD">
        <w:t>IEEE EC-17-0064-00-00EC</w:t>
      </w:r>
      <w:r>
        <w:t xml:space="preserve">, </w:t>
      </w:r>
      <w:r w:rsidRPr="008348DD">
        <w:t>Liaison Statement to 3GPP RAN/RAN1/RAN4 related to PD &amp; ED issues</w:t>
      </w:r>
      <w:r>
        <w:t>, 22 March 2017</w:t>
      </w:r>
      <w:bookmarkEnd w:id="96"/>
      <w:bookmarkEnd w:id="113"/>
    </w:p>
    <w:sectPr w:rsidR="00C411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07DBE" w14:textId="77777777" w:rsidR="001060A9" w:rsidRDefault="001060A9">
      <w:r>
        <w:separator/>
      </w:r>
    </w:p>
  </w:endnote>
  <w:endnote w:type="continuationSeparator" w:id="0">
    <w:p w14:paraId="131E16D4" w14:textId="77777777" w:rsidR="001060A9" w:rsidRDefault="001060A9">
      <w:r>
        <w:continuationSeparator/>
      </w:r>
    </w:p>
  </w:endnote>
  <w:endnote w:type="continuationNotice" w:id="1">
    <w:p w14:paraId="39393752" w14:textId="77777777" w:rsidR="001060A9" w:rsidRDefault="00106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DE41DB" w:rsidRDefault="00DE4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DE41DB" w:rsidRDefault="00DE41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DE41DB" w:rsidRDefault="00DE4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2FA50" w14:textId="77777777" w:rsidR="001060A9" w:rsidRDefault="001060A9">
      <w:r>
        <w:separator/>
      </w:r>
    </w:p>
  </w:footnote>
  <w:footnote w:type="continuationSeparator" w:id="0">
    <w:p w14:paraId="6406D1A8" w14:textId="77777777" w:rsidR="001060A9" w:rsidRDefault="001060A9">
      <w:r>
        <w:continuationSeparator/>
      </w:r>
    </w:p>
  </w:footnote>
  <w:footnote w:type="continuationNotice" w:id="1">
    <w:p w14:paraId="1ECE5512" w14:textId="77777777" w:rsidR="001060A9" w:rsidRDefault="00106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DE41DB" w:rsidRDefault="00DE4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DE41DB" w:rsidRDefault="00DE4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DE41DB" w:rsidRDefault="00DE4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EEACE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3B8D13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DDCE6B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917022"/>
    <w:multiLevelType w:val="hybridMultilevel"/>
    <w:tmpl w:val="430CB8C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BB033E"/>
    <w:multiLevelType w:val="hybridMultilevel"/>
    <w:tmpl w:val="1F10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7EA282B"/>
    <w:multiLevelType w:val="hybridMultilevel"/>
    <w:tmpl w:val="F61AFEC4"/>
    <w:lvl w:ilvl="0" w:tplc="A0A8B3D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8812A9F0"/>
    <w:lvl w:ilvl="0" w:tplc="DA441E7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9F0B64"/>
    <w:multiLevelType w:val="hybridMultilevel"/>
    <w:tmpl w:val="4F443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112AE"/>
    <w:multiLevelType w:val="hybridMultilevel"/>
    <w:tmpl w:val="A3125D38"/>
    <w:lvl w:ilvl="0" w:tplc="B310FB42">
      <w:start w:val="1"/>
      <w:numFmt w:val="bullet"/>
      <w:lvlText w:val="—"/>
      <w:lvlJc w:val="left"/>
      <w:pPr>
        <w:tabs>
          <w:tab w:val="num" w:pos="720"/>
        </w:tabs>
        <w:ind w:left="720" w:hanging="360"/>
      </w:pPr>
      <w:rPr>
        <w:rFonts w:ascii="Ericsson Hilda Light" w:hAnsi="Ericsson Hilda Light" w:hint="default"/>
      </w:rPr>
    </w:lvl>
    <w:lvl w:ilvl="1" w:tplc="CFE065E8" w:tentative="1">
      <w:start w:val="1"/>
      <w:numFmt w:val="bullet"/>
      <w:lvlText w:val="—"/>
      <w:lvlJc w:val="left"/>
      <w:pPr>
        <w:tabs>
          <w:tab w:val="num" w:pos="1440"/>
        </w:tabs>
        <w:ind w:left="1440" w:hanging="360"/>
      </w:pPr>
      <w:rPr>
        <w:rFonts w:ascii="Ericsson Hilda Light" w:hAnsi="Ericsson Hilda Light" w:hint="default"/>
      </w:rPr>
    </w:lvl>
    <w:lvl w:ilvl="2" w:tplc="14BCACA2">
      <w:start w:val="1"/>
      <w:numFmt w:val="bullet"/>
      <w:lvlText w:val="—"/>
      <w:lvlJc w:val="left"/>
      <w:pPr>
        <w:tabs>
          <w:tab w:val="num" w:pos="2160"/>
        </w:tabs>
        <w:ind w:left="2160" w:hanging="360"/>
      </w:pPr>
      <w:rPr>
        <w:rFonts w:ascii="Ericsson Hilda Light" w:hAnsi="Ericsson Hilda Light" w:hint="default"/>
      </w:rPr>
    </w:lvl>
    <w:lvl w:ilvl="3" w:tplc="498E5F28">
      <w:start w:val="57"/>
      <w:numFmt w:val="bullet"/>
      <w:lvlText w:val="—"/>
      <w:lvlJc w:val="left"/>
      <w:pPr>
        <w:tabs>
          <w:tab w:val="num" w:pos="2880"/>
        </w:tabs>
        <w:ind w:left="2880" w:hanging="360"/>
      </w:pPr>
      <w:rPr>
        <w:rFonts w:ascii="Ericsson Hilda Light" w:hAnsi="Ericsson Hilda Light" w:hint="default"/>
      </w:rPr>
    </w:lvl>
    <w:lvl w:ilvl="4" w:tplc="F612D2D8" w:tentative="1">
      <w:start w:val="1"/>
      <w:numFmt w:val="bullet"/>
      <w:lvlText w:val="—"/>
      <w:lvlJc w:val="left"/>
      <w:pPr>
        <w:tabs>
          <w:tab w:val="num" w:pos="3600"/>
        </w:tabs>
        <w:ind w:left="3600" w:hanging="360"/>
      </w:pPr>
      <w:rPr>
        <w:rFonts w:ascii="Ericsson Hilda Light" w:hAnsi="Ericsson Hilda Light" w:hint="default"/>
      </w:rPr>
    </w:lvl>
    <w:lvl w:ilvl="5" w:tplc="4C386AF6" w:tentative="1">
      <w:start w:val="1"/>
      <w:numFmt w:val="bullet"/>
      <w:lvlText w:val="—"/>
      <w:lvlJc w:val="left"/>
      <w:pPr>
        <w:tabs>
          <w:tab w:val="num" w:pos="4320"/>
        </w:tabs>
        <w:ind w:left="4320" w:hanging="360"/>
      </w:pPr>
      <w:rPr>
        <w:rFonts w:ascii="Ericsson Hilda Light" w:hAnsi="Ericsson Hilda Light" w:hint="default"/>
      </w:rPr>
    </w:lvl>
    <w:lvl w:ilvl="6" w:tplc="D5B062A4" w:tentative="1">
      <w:start w:val="1"/>
      <w:numFmt w:val="bullet"/>
      <w:lvlText w:val="—"/>
      <w:lvlJc w:val="left"/>
      <w:pPr>
        <w:tabs>
          <w:tab w:val="num" w:pos="5040"/>
        </w:tabs>
        <w:ind w:left="5040" w:hanging="360"/>
      </w:pPr>
      <w:rPr>
        <w:rFonts w:ascii="Ericsson Hilda Light" w:hAnsi="Ericsson Hilda Light" w:hint="default"/>
      </w:rPr>
    </w:lvl>
    <w:lvl w:ilvl="7" w:tplc="B1382978" w:tentative="1">
      <w:start w:val="1"/>
      <w:numFmt w:val="bullet"/>
      <w:lvlText w:val="—"/>
      <w:lvlJc w:val="left"/>
      <w:pPr>
        <w:tabs>
          <w:tab w:val="num" w:pos="5760"/>
        </w:tabs>
        <w:ind w:left="5760" w:hanging="360"/>
      </w:pPr>
      <w:rPr>
        <w:rFonts w:ascii="Ericsson Hilda Light" w:hAnsi="Ericsson Hilda Light" w:hint="default"/>
      </w:rPr>
    </w:lvl>
    <w:lvl w:ilvl="8" w:tplc="4692C0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7"/>
  </w:num>
  <w:num w:numId="2">
    <w:abstractNumId w:val="29"/>
  </w:num>
  <w:num w:numId="3">
    <w:abstractNumId w:val="23"/>
  </w:num>
  <w:num w:numId="4">
    <w:abstractNumId w:val="24"/>
  </w:num>
  <w:num w:numId="5">
    <w:abstractNumId w:val="21"/>
  </w:num>
  <w:num w:numId="6">
    <w:abstractNumId w:val="25"/>
  </w:num>
  <w:num w:numId="7">
    <w:abstractNumId w:val="31"/>
  </w:num>
  <w:num w:numId="8">
    <w:abstractNumId w:val="22"/>
  </w:num>
  <w:num w:numId="9">
    <w:abstractNumId w:val="19"/>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18"/>
  </w:num>
  <w:num w:numId="17">
    <w:abstractNumId w:val="37"/>
  </w:num>
  <w:num w:numId="18">
    <w:abstractNumId w:val="15"/>
  </w:num>
  <w:num w:numId="19">
    <w:abstractNumId w:val="14"/>
  </w:num>
  <w:num w:numId="20">
    <w:abstractNumId w:val="11"/>
  </w:num>
  <w:num w:numId="21">
    <w:abstractNumId w:val="16"/>
  </w:num>
  <w:num w:numId="22">
    <w:abstractNumId w:val="13"/>
  </w:num>
  <w:num w:numId="23">
    <w:abstractNumId w:val="28"/>
  </w:num>
  <w:num w:numId="24">
    <w:abstractNumId w:val="36"/>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2"/>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26"/>
  </w:num>
  <w:num w:numId="38">
    <w:abstractNumId w:val="27"/>
  </w:num>
  <w:num w:numId="39">
    <w:abstractNumId w:val="38"/>
  </w:num>
  <w:num w:numId="40">
    <w:abstractNumId w:val="9"/>
  </w:num>
  <w:num w:numId="41">
    <w:abstractNumId w:val="17"/>
  </w:num>
  <w:num w:numId="42">
    <w:abstractNumId w:val="34"/>
  </w:num>
  <w:num w:numId="43">
    <w:abstractNumId w:val="20"/>
  </w:num>
  <w:num w:numId="44">
    <w:abstractNumId w:val="12"/>
  </w:num>
  <w:num w:numId="45">
    <w:abstractNumId w:val="10"/>
  </w:num>
  <w:num w:numId="46">
    <w:abstractNumId w:val="8"/>
  </w:num>
  <w:num w:numId="47">
    <w:abstractNumId w:val="23"/>
  </w:num>
  <w:num w:numId="48">
    <w:abstractNumId w:val="39"/>
  </w:num>
  <w:num w:numId="49">
    <w:abstractNumId w:val="23"/>
  </w:num>
  <w:num w:numId="50">
    <w:abstractNumId w:val="23"/>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1B48"/>
    <w:rsid w:val="000134E3"/>
    <w:rsid w:val="0001525B"/>
    <w:rsid w:val="00015D15"/>
    <w:rsid w:val="000239D3"/>
    <w:rsid w:val="0002564D"/>
    <w:rsid w:val="00025ECA"/>
    <w:rsid w:val="000305A9"/>
    <w:rsid w:val="000325B8"/>
    <w:rsid w:val="00033825"/>
    <w:rsid w:val="00034C15"/>
    <w:rsid w:val="00035718"/>
    <w:rsid w:val="00036006"/>
    <w:rsid w:val="00036BA1"/>
    <w:rsid w:val="00041CE5"/>
    <w:rsid w:val="000422E2"/>
    <w:rsid w:val="00042B50"/>
    <w:rsid w:val="00042F22"/>
    <w:rsid w:val="000444EF"/>
    <w:rsid w:val="0005138B"/>
    <w:rsid w:val="00052A07"/>
    <w:rsid w:val="000534E3"/>
    <w:rsid w:val="0005606A"/>
    <w:rsid w:val="0005631A"/>
    <w:rsid w:val="00057117"/>
    <w:rsid w:val="000616E7"/>
    <w:rsid w:val="0006487E"/>
    <w:rsid w:val="00065D4F"/>
    <w:rsid w:val="00065E1A"/>
    <w:rsid w:val="00066B5F"/>
    <w:rsid w:val="000725C4"/>
    <w:rsid w:val="0007268D"/>
    <w:rsid w:val="00077368"/>
    <w:rsid w:val="00077E5F"/>
    <w:rsid w:val="00080240"/>
    <w:rsid w:val="0008036A"/>
    <w:rsid w:val="00081AE6"/>
    <w:rsid w:val="000855EB"/>
    <w:rsid w:val="00085B52"/>
    <w:rsid w:val="00086415"/>
    <w:rsid w:val="000866F2"/>
    <w:rsid w:val="0009009F"/>
    <w:rsid w:val="00091557"/>
    <w:rsid w:val="000924C1"/>
    <w:rsid w:val="000924F0"/>
    <w:rsid w:val="00093474"/>
    <w:rsid w:val="000935C7"/>
    <w:rsid w:val="00094AE2"/>
    <w:rsid w:val="0009510F"/>
    <w:rsid w:val="000A16DA"/>
    <w:rsid w:val="000A1B7B"/>
    <w:rsid w:val="000A56F2"/>
    <w:rsid w:val="000B0C0B"/>
    <w:rsid w:val="000B1D9E"/>
    <w:rsid w:val="000B2719"/>
    <w:rsid w:val="000B3A8F"/>
    <w:rsid w:val="000B4AB9"/>
    <w:rsid w:val="000B564A"/>
    <w:rsid w:val="000B58C3"/>
    <w:rsid w:val="000B5D26"/>
    <w:rsid w:val="000B61E9"/>
    <w:rsid w:val="000C165A"/>
    <w:rsid w:val="000C2E19"/>
    <w:rsid w:val="000D0D07"/>
    <w:rsid w:val="000D4797"/>
    <w:rsid w:val="000E0527"/>
    <w:rsid w:val="000E13DA"/>
    <w:rsid w:val="000E1E92"/>
    <w:rsid w:val="000E606A"/>
    <w:rsid w:val="000F06D6"/>
    <w:rsid w:val="000F0EB1"/>
    <w:rsid w:val="000F1106"/>
    <w:rsid w:val="000F398F"/>
    <w:rsid w:val="000F3BE9"/>
    <w:rsid w:val="000F3F6C"/>
    <w:rsid w:val="000F67A4"/>
    <w:rsid w:val="000F6DF3"/>
    <w:rsid w:val="000F7C85"/>
    <w:rsid w:val="001005FF"/>
    <w:rsid w:val="001018F5"/>
    <w:rsid w:val="001060A9"/>
    <w:rsid w:val="001062FB"/>
    <w:rsid w:val="001063E6"/>
    <w:rsid w:val="0010726D"/>
    <w:rsid w:val="00113CF4"/>
    <w:rsid w:val="00114CD4"/>
    <w:rsid w:val="001153EA"/>
    <w:rsid w:val="00115643"/>
    <w:rsid w:val="00116765"/>
    <w:rsid w:val="001219F5"/>
    <w:rsid w:val="00121A20"/>
    <w:rsid w:val="0012377F"/>
    <w:rsid w:val="00124314"/>
    <w:rsid w:val="00126B4A"/>
    <w:rsid w:val="00130A3E"/>
    <w:rsid w:val="00130E8D"/>
    <w:rsid w:val="00132FD0"/>
    <w:rsid w:val="001344C0"/>
    <w:rsid w:val="001346FA"/>
    <w:rsid w:val="0013474C"/>
    <w:rsid w:val="00135252"/>
    <w:rsid w:val="001353D0"/>
    <w:rsid w:val="0013690B"/>
    <w:rsid w:val="00137AB5"/>
    <w:rsid w:val="00137F0B"/>
    <w:rsid w:val="00151E23"/>
    <w:rsid w:val="001526E0"/>
    <w:rsid w:val="00152B0A"/>
    <w:rsid w:val="001551B5"/>
    <w:rsid w:val="0015562D"/>
    <w:rsid w:val="001570C7"/>
    <w:rsid w:val="00164391"/>
    <w:rsid w:val="001659C1"/>
    <w:rsid w:val="00173A8E"/>
    <w:rsid w:val="00177795"/>
    <w:rsid w:val="00180206"/>
    <w:rsid w:val="0018143F"/>
    <w:rsid w:val="00187BD5"/>
    <w:rsid w:val="00190AC1"/>
    <w:rsid w:val="0019341A"/>
    <w:rsid w:val="00196FBC"/>
    <w:rsid w:val="0019738D"/>
    <w:rsid w:val="00197DF9"/>
    <w:rsid w:val="001A1987"/>
    <w:rsid w:val="001A2564"/>
    <w:rsid w:val="001A43EF"/>
    <w:rsid w:val="001A6173"/>
    <w:rsid w:val="001A6CBA"/>
    <w:rsid w:val="001B0D97"/>
    <w:rsid w:val="001B23A1"/>
    <w:rsid w:val="001B5A5D"/>
    <w:rsid w:val="001C1CE5"/>
    <w:rsid w:val="001C2CF6"/>
    <w:rsid w:val="001C3D2A"/>
    <w:rsid w:val="001C5C31"/>
    <w:rsid w:val="001D51BA"/>
    <w:rsid w:val="001D6342"/>
    <w:rsid w:val="001D6D53"/>
    <w:rsid w:val="001E58E2"/>
    <w:rsid w:val="001E70D8"/>
    <w:rsid w:val="001E7AED"/>
    <w:rsid w:val="001F1C05"/>
    <w:rsid w:val="001F3916"/>
    <w:rsid w:val="001F54C5"/>
    <w:rsid w:val="001F57AE"/>
    <w:rsid w:val="001F662C"/>
    <w:rsid w:val="001F7074"/>
    <w:rsid w:val="00200490"/>
    <w:rsid w:val="002004F2"/>
    <w:rsid w:val="00201358"/>
    <w:rsid w:val="00201F3A"/>
    <w:rsid w:val="00203B00"/>
    <w:rsid w:val="00203F96"/>
    <w:rsid w:val="0020619D"/>
    <w:rsid w:val="002069B2"/>
    <w:rsid w:val="00207FA3"/>
    <w:rsid w:val="00214DA8"/>
    <w:rsid w:val="00215423"/>
    <w:rsid w:val="002154A7"/>
    <w:rsid w:val="002158FA"/>
    <w:rsid w:val="002201C3"/>
    <w:rsid w:val="00220600"/>
    <w:rsid w:val="002224DB"/>
    <w:rsid w:val="00223FCB"/>
    <w:rsid w:val="002252C3"/>
    <w:rsid w:val="00225C54"/>
    <w:rsid w:val="00230765"/>
    <w:rsid w:val="002319E4"/>
    <w:rsid w:val="00232F6A"/>
    <w:rsid w:val="00235632"/>
    <w:rsid w:val="00235872"/>
    <w:rsid w:val="00241559"/>
    <w:rsid w:val="00242AD3"/>
    <w:rsid w:val="00242E48"/>
    <w:rsid w:val="002435B3"/>
    <w:rsid w:val="002458EB"/>
    <w:rsid w:val="00247E49"/>
    <w:rsid w:val="002500C8"/>
    <w:rsid w:val="002554B6"/>
    <w:rsid w:val="00256492"/>
    <w:rsid w:val="00257543"/>
    <w:rsid w:val="002617E7"/>
    <w:rsid w:val="00264228"/>
    <w:rsid w:val="00264334"/>
    <w:rsid w:val="0026473E"/>
    <w:rsid w:val="00264D7B"/>
    <w:rsid w:val="00266214"/>
    <w:rsid w:val="00267C83"/>
    <w:rsid w:val="0027144F"/>
    <w:rsid w:val="00271F3A"/>
    <w:rsid w:val="00273278"/>
    <w:rsid w:val="002737F4"/>
    <w:rsid w:val="00273DBF"/>
    <w:rsid w:val="00275D91"/>
    <w:rsid w:val="00277DCA"/>
    <w:rsid w:val="00280166"/>
    <w:rsid w:val="002805F5"/>
    <w:rsid w:val="00280751"/>
    <w:rsid w:val="00280778"/>
    <w:rsid w:val="0028077B"/>
    <w:rsid w:val="0028280A"/>
    <w:rsid w:val="00286704"/>
    <w:rsid w:val="00286ACD"/>
    <w:rsid w:val="00287838"/>
    <w:rsid w:val="002907B5"/>
    <w:rsid w:val="00292EB7"/>
    <w:rsid w:val="00296227"/>
    <w:rsid w:val="00296F44"/>
    <w:rsid w:val="0029777D"/>
    <w:rsid w:val="002A055E"/>
    <w:rsid w:val="002A1D4E"/>
    <w:rsid w:val="002A2869"/>
    <w:rsid w:val="002A34A5"/>
    <w:rsid w:val="002B1AC5"/>
    <w:rsid w:val="002B24D6"/>
    <w:rsid w:val="002C41E6"/>
    <w:rsid w:val="002D071A"/>
    <w:rsid w:val="002D34B2"/>
    <w:rsid w:val="002D7637"/>
    <w:rsid w:val="002E17F2"/>
    <w:rsid w:val="002E7CAE"/>
    <w:rsid w:val="002F2771"/>
    <w:rsid w:val="002F37A9"/>
    <w:rsid w:val="002F7363"/>
    <w:rsid w:val="00300193"/>
    <w:rsid w:val="00301747"/>
    <w:rsid w:val="00301CE6"/>
    <w:rsid w:val="00301ED8"/>
    <w:rsid w:val="0030256B"/>
    <w:rsid w:val="00302AE4"/>
    <w:rsid w:val="0030501F"/>
    <w:rsid w:val="00307220"/>
    <w:rsid w:val="00307BA1"/>
    <w:rsid w:val="00311702"/>
    <w:rsid w:val="00311AF1"/>
    <w:rsid w:val="00311E82"/>
    <w:rsid w:val="00313FD6"/>
    <w:rsid w:val="003143BD"/>
    <w:rsid w:val="00317086"/>
    <w:rsid w:val="00317E0D"/>
    <w:rsid w:val="003203ED"/>
    <w:rsid w:val="00322C9F"/>
    <w:rsid w:val="00322F42"/>
    <w:rsid w:val="00324D23"/>
    <w:rsid w:val="00331518"/>
    <w:rsid w:val="00331751"/>
    <w:rsid w:val="00331EEF"/>
    <w:rsid w:val="00332AB4"/>
    <w:rsid w:val="00332F9D"/>
    <w:rsid w:val="0033441B"/>
    <w:rsid w:val="00334579"/>
    <w:rsid w:val="00335858"/>
    <w:rsid w:val="00336BDA"/>
    <w:rsid w:val="00342BD7"/>
    <w:rsid w:val="00343A07"/>
    <w:rsid w:val="00346DB5"/>
    <w:rsid w:val="003477B1"/>
    <w:rsid w:val="0035115B"/>
    <w:rsid w:val="00352685"/>
    <w:rsid w:val="0035491B"/>
    <w:rsid w:val="00354AE6"/>
    <w:rsid w:val="003556E3"/>
    <w:rsid w:val="00357380"/>
    <w:rsid w:val="00357F49"/>
    <w:rsid w:val="003602D9"/>
    <w:rsid w:val="003604CE"/>
    <w:rsid w:val="003652F1"/>
    <w:rsid w:val="00370E47"/>
    <w:rsid w:val="003742AC"/>
    <w:rsid w:val="00377CE1"/>
    <w:rsid w:val="003850E8"/>
    <w:rsid w:val="00385BF0"/>
    <w:rsid w:val="00386D0F"/>
    <w:rsid w:val="003939FF"/>
    <w:rsid w:val="00395FB1"/>
    <w:rsid w:val="003A2223"/>
    <w:rsid w:val="003A2A0F"/>
    <w:rsid w:val="003A45A1"/>
    <w:rsid w:val="003A4D38"/>
    <w:rsid w:val="003A5B0A"/>
    <w:rsid w:val="003A6BAC"/>
    <w:rsid w:val="003A7EF3"/>
    <w:rsid w:val="003B0504"/>
    <w:rsid w:val="003B159C"/>
    <w:rsid w:val="003B1828"/>
    <w:rsid w:val="003B369F"/>
    <w:rsid w:val="003B36A3"/>
    <w:rsid w:val="003B460B"/>
    <w:rsid w:val="003B7FE5"/>
    <w:rsid w:val="003C03D0"/>
    <w:rsid w:val="003C11C8"/>
    <w:rsid w:val="003C213A"/>
    <w:rsid w:val="003C2702"/>
    <w:rsid w:val="003C3D72"/>
    <w:rsid w:val="003C6D22"/>
    <w:rsid w:val="003C7806"/>
    <w:rsid w:val="003D109F"/>
    <w:rsid w:val="003D2478"/>
    <w:rsid w:val="003D3C45"/>
    <w:rsid w:val="003D5B1F"/>
    <w:rsid w:val="003D6581"/>
    <w:rsid w:val="003D7932"/>
    <w:rsid w:val="003E15FA"/>
    <w:rsid w:val="003E55E4"/>
    <w:rsid w:val="003E74E3"/>
    <w:rsid w:val="003F05C7"/>
    <w:rsid w:val="003F2CD4"/>
    <w:rsid w:val="003F6BBE"/>
    <w:rsid w:val="003F70E1"/>
    <w:rsid w:val="004000E8"/>
    <w:rsid w:val="00400757"/>
    <w:rsid w:val="00402E2B"/>
    <w:rsid w:val="0040512B"/>
    <w:rsid w:val="00405CA5"/>
    <w:rsid w:val="00407CD3"/>
    <w:rsid w:val="00410134"/>
    <w:rsid w:val="00410B72"/>
    <w:rsid w:val="00410F18"/>
    <w:rsid w:val="0041263E"/>
    <w:rsid w:val="00413AAC"/>
    <w:rsid w:val="00421105"/>
    <w:rsid w:val="004242F4"/>
    <w:rsid w:val="00424DDF"/>
    <w:rsid w:val="00427248"/>
    <w:rsid w:val="00437447"/>
    <w:rsid w:val="004415AC"/>
    <w:rsid w:val="00441A92"/>
    <w:rsid w:val="00444F56"/>
    <w:rsid w:val="00445729"/>
    <w:rsid w:val="00446488"/>
    <w:rsid w:val="004517AA"/>
    <w:rsid w:val="00452110"/>
    <w:rsid w:val="0045268F"/>
    <w:rsid w:val="00452CAC"/>
    <w:rsid w:val="00455E9F"/>
    <w:rsid w:val="00457565"/>
    <w:rsid w:val="00457B71"/>
    <w:rsid w:val="004614B5"/>
    <w:rsid w:val="004669E2"/>
    <w:rsid w:val="00470C31"/>
    <w:rsid w:val="00471CE4"/>
    <w:rsid w:val="004734D0"/>
    <w:rsid w:val="004741B6"/>
    <w:rsid w:val="0047422D"/>
    <w:rsid w:val="0047556B"/>
    <w:rsid w:val="00477768"/>
    <w:rsid w:val="004801B4"/>
    <w:rsid w:val="004872AE"/>
    <w:rsid w:val="00492728"/>
    <w:rsid w:val="00492BC5"/>
    <w:rsid w:val="004964F1"/>
    <w:rsid w:val="004A00B6"/>
    <w:rsid w:val="004A16BC"/>
    <w:rsid w:val="004A2B94"/>
    <w:rsid w:val="004B4E6E"/>
    <w:rsid w:val="004B7C0C"/>
    <w:rsid w:val="004C2DB9"/>
    <w:rsid w:val="004C3898"/>
    <w:rsid w:val="004C38B2"/>
    <w:rsid w:val="004C3DDB"/>
    <w:rsid w:val="004D313B"/>
    <w:rsid w:val="004D36B1"/>
    <w:rsid w:val="004D7EBD"/>
    <w:rsid w:val="004E00E1"/>
    <w:rsid w:val="004E1799"/>
    <w:rsid w:val="004E2680"/>
    <w:rsid w:val="004E28F9"/>
    <w:rsid w:val="004E34AD"/>
    <w:rsid w:val="004E3DA1"/>
    <w:rsid w:val="004E462E"/>
    <w:rsid w:val="004E56DC"/>
    <w:rsid w:val="004E76F4"/>
    <w:rsid w:val="004F0B4E"/>
    <w:rsid w:val="004F0B6C"/>
    <w:rsid w:val="004F2078"/>
    <w:rsid w:val="004F2A3A"/>
    <w:rsid w:val="004F4DA3"/>
    <w:rsid w:val="004F4ED0"/>
    <w:rsid w:val="00500CE5"/>
    <w:rsid w:val="00506557"/>
    <w:rsid w:val="0050677A"/>
    <w:rsid w:val="005108D8"/>
    <w:rsid w:val="0051165C"/>
    <w:rsid w:val="005116F9"/>
    <w:rsid w:val="0051203D"/>
    <w:rsid w:val="005153A7"/>
    <w:rsid w:val="00515DA8"/>
    <w:rsid w:val="00516C52"/>
    <w:rsid w:val="00517250"/>
    <w:rsid w:val="00520617"/>
    <w:rsid w:val="005219CF"/>
    <w:rsid w:val="00521FE6"/>
    <w:rsid w:val="00524564"/>
    <w:rsid w:val="00524EE8"/>
    <w:rsid w:val="00532471"/>
    <w:rsid w:val="00534B59"/>
    <w:rsid w:val="00536759"/>
    <w:rsid w:val="00537908"/>
    <w:rsid w:val="00537C62"/>
    <w:rsid w:val="0054185D"/>
    <w:rsid w:val="00542A6A"/>
    <w:rsid w:val="00544B7D"/>
    <w:rsid w:val="00546970"/>
    <w:rsid w:val="00554E19"/>
    <w:rsid w:val="0056121F"/>
    <w:rsid w:val="005660F3"/>
    <w:rsid w:val="005662B8"/>
    <w:rsid w:val="00570AF3"/>
    <w:rsid w:val="00572505"/>
    <w:rsid w:val="00576E35"/>
    <w:rsid w:val="00582809"/>
    <w:rsid w:val="00583F06"/>
    <w:rsid w:val="0058798C"/>
    <w:rsid w:val="005900FA"/>
    <w:rsid w:val="005928C6"/>
    <w:rsid w:val="005935A4"/>
    <w:rsid w:val="005948C2"/>
    <w:rsid w:val="00595DCA"/>
    <w:rsid w:val="00595F11"/>
    <w:rsid w:val="005970BD"/>
    <w:rsid w:val="0059779B"/>
    <w:rsid w:val="005A209A"/>
    <w:rsid w:val="005A4D73"/>
    <w:rsid w:val="005A5FA4"/>
    <w:rsid w:val="005A662D"/>
    <w:rsid w:val="005B06D4"/>
    <w:rsid w:val="005B35D7"/>
    <w:rsid w:val="005B392A"/>
    <w:rsid w:val="005B3AA3"/>
    <w:rsid w:val="005B450E"/>
    <w:rsid w:val="005B591A"/>
    <w:rsid w:val="005B6F83"/>
    <w:rsid w:val="005C6264"/>
    <w:rsid w:val="005C74FB"/>
    <w:rsid w:val="005D1602"/>
    <w:rsid w:val="005D755D"/>
    <w:rsid w:val="005E385F"/>
    <w:rsid w:val="005E5B81"/>
    <w:rsid w:val="005E7C66"/>
    <w:rsid w:val="005F2CB1"/>
    <w:rsid w:val="005F3025"/>
    <w:rsid w:val="005F360F"/>
    <w:rsid w:val="005F618C"/>
    <w:rsid w:val="005F70BD"/>
    <w:rsid w:val="0060283C"/>
    <w:rsid w:val="00604AF9"/>
    <w:rsid w:val="00604B6A"/>
    <w:rsid w:val="00604F14"/>
    <w:rsid w:val="00611B83"/>
    <w:rsid w:val="00613257"/>
    <w:rsid w:val="00615E98"/>
    <w:rsid w:val="00620A71"/>
    <w:rsid w:val="00620D80"/>
    <w:rsid w:val="006234A6"/>
    <w:rsid w:val="00630001"/>
    <w:rsid w:val="00630B49"/>
    <w:rsid w:val="006311B3"/>
    <w:rsid w:val="00631CA0"/>
    <w:rsid w:val="00631EA0"/>
    <w:rsid w:val="0063284C"/>
    <w:rsid w:val="00636398"/>
    <w:rsid w:val="006368D3"/>
    <w:rsid w:val="00637432"/>
    <w:rsid w:val="006377EC"/>
    <w:rsid w:val="0064151F"/>
    <w:rsid w:val="00641533"/>
    <w:rsid w:val="0064208D"/>
    <w:rsid w:val="00643475"/>
    <w:rsid w:val="0064396A"/>
    <w:rsid w:val="0064624E"/>
    <w:rsid w:val="00650AB9"/>
    <w:rsid w:val="00652805"/>
    <w:rsid w:val="00655733"/>
    <w:rsid w:val="00655ACD"/>
    <w:rsid w:val="00656A92"/>
    <w:rsid w:val="00656DDE"/>
    <w:rsid w:val="0066011D"/>
    <w:rsid w:val="006607C0"/>
    <w:rsid w:val="006613A6"/>
    <w:rsid w:val="006627A2"/>
    <w:rsid w:val="006634E6"/>
    <w:rsid w:val="006655EE"/>
    <w:rsid w:val="00667EE7"/>
    <w:rsid w:val="006702BA"/>
    <w:rsid w:val="00670922"/>
    <w:rsid w:val="00670BE1"/>
    <w:rsid w:val="0067218F"/>
    <w:rsid w:val="006741F2"/>
    <w:rsid w:val="0067471C"/>
    <w:rsid w:val="00674CC3"/>
    <w:rsid w:val="00675C72"/>
    <w:rsid w:val="006771F9"/>
    <w:rsid w:val="006776D7"/>
    <w:rsid w:val="00681003"/>
    <w:rsid w:val="006817C9"/>
    <w:rsid w:val="00682DE6"/>
    <w:rsid w:val="00683ECE"/>
    <w:rsid w:val="00690DF1"/>
    <w:rsid w:val="006914C4"/>
    <w:rsid w:val="006937A5"/>
    <w:rsid w:val="0069573D"/>
    <w:rsid w:val="00695FC2"/>
    <w:rsid w:val="00696949"/>
    <w:rsid w:val="00697052"/>
    <w:rsid w:val="006A2FDA"/>
    <w:rsid w:val="006A46FB"/>
    <w:rsid w:val="006A5E28"/>
    <w:rsid w:val="006A697B"/>
    <w:rsid w:val="006A6C98"/>
    <w:rsid w:val="006A7AFF"/>
    <w:rsid w:val="006B0857"/>
    <w:rsid w:val="006B1816"/>
    <w:rsid w:val="006B2099"/>
    <w:rsid w:val="006B50CF"/>
    <w:rsid w:val="006C03B8"/>
    <w:rsid w:val="006C398B"/>
    <w:rsid w:val="006C48A3"/>
    <w:rsid w:val="006C5EC9"/>
    <w:rsid w:val="006C6059"/>
    <w:rsid w:val="006C7132"/>
    <w:rsid w:val="006C7522"/>
    <w:rsid w:val="006D42A2"/>
    <w:rsid w:val="006D56DE"/>
    <w:rsid w:val="006D6F08"/>
    <w:rsid w:val="006E02B2"/>
    <w:rsid w:val="006E062C"/>
    <w:rsid w:val="006E1C43"/>
    <w:rsid w:val="006E28B7"/>
    <w:rsid w:val="006E3310"/>
    <w:rsid w:val="006E4E39"/>
    <w:rsid w:val="006E52F0"/>
    <w:rsid w:val="006E565E"/>
    <w:rsid w:val="006E673D"/>
    <w:rsid w:val="006E6DDA"/>
    <w:rsid w:val="006E7D3B"/>
    <w:rsid w:val="006F1B70"/>
    <w:rsid w:val="006F341D"/>
    <w:rsid w:val="006F3CDE"/>
    <w:rsid w:val="006F578E"/>
    <w:rsid w:val="006F58D4"/>
    <w:rsid w:val="006F7D57"/>
    <w:rsid w:val="00700472"/>
    <w:rsid w:val="0070346E"/>
    <w:rsid w:val="00704EDB"/>
    <w:rsid w:val="00706101"/>
    <w:rsid w:val="00707072"/>
    <w:rsid w:val="00707D61"/>
    <w:rsid w:val="007119FD"/>
    <w:rsid w:val="00712287"/>
    <w:rsid w:val="00712772"/>
    <w:rsid w:val="007148D3"/>
    <w:rsid w:val="00715B9A"/>
    <w:rsid w:val="00715BC3"/>
    <w:rsid w:val="00726EA6"/>
    <w:rsid w:val="00727208"/>
    <w:rsid w:val="00727680"/>
    <w:rsid w:val="0073204F"/>
    <w:rsid w:val="007348B1"/>
    <w:rsid w:val="007362A6"/>
    <w:rsid w:val="00736D7D"/>
    <w:rsid w:val="00740E58"/>
    <w:rsid w:val="007445A0"/>
    <w:rsid w:val="0074524B"/>
    <w:rsid w:val="00747D8B"/>
    <w:rsid w:val="00751228"/>
    <w:rsid w:val="00751FE3"/>
    <w:rsid w:val="00754251"/>
    <w:rsid w:val="00754930"/>
    <w:rsid w:val="007565EA"/>
    <w:rsid w:val="007571E1"/>
    <w:rsid w:val="007604B2"/>
    <w:rsid w:val="00765281"/>
    <w:rsid w:val="00766BAD"/>
    <w:rsid w:val="007725D7"/>
    <w:rsid w:val="007730BD"/>
    <w:rsid w:val="007755F2"/>
    <w:rsid w:val="00776971"/>
    <w:rsid w:val="00777A9B"/>
    <w:rsid w:val="00780A21"/>
    <w:rsid w:val="0078177E"/>
    <w:rsid w:val="0078304C"/>
    <w:rsid w:val="00783673"/>
    <w:rsid w:val="00785490"/>
    <w:rsid w:val="007925EA"/>
    <w:rsid w:val="00793CD8"/>
    <w:rsid w:val="00795C92"/>
    <w:rsid w:val="00796231"/>
    <w:rsid w:val="007A1CB3"/>
    <w:rsid w:val="007A306F"/>
    <w:rsid w:val="007A43A6"/>
    <w:rsid w:val="007A58A6"/>
    <w:rsid w:val="007A6BF3"/>
    <w:rsid w:val="007B1221"/>
    <w:rsid w:val="007B1916"/>
    <w:rsid w:val="007B3D2D"/>
    <w:rsid w:val="007B50AE"/>
    <w:rsid w:val="007B51DF"/>
    <w:rsid w:val="007B77C3"/>
    <w:rsid w:val="007C05DD"/>
    <w:rsid w:val="007C1ED5"/>
    <w:rsid w:val="007C39F3"/>
    <w:rsid w:val="007C3D18"/>
    <w:rsid w:val="007C60BF"/>
    <w:rsid w:val="007C6A07"/>
    <w:rsid w:val="007C75A1"/>
    <w:rsid w:val="007C77A5"/>
    <w:rsid w:val="007D04E5"/>
    <w:rsid w:val="007D5901"/>
    <w:rsid w:val="007D7526"/>
    <w:rsid w:val="007E4610"/>
    <w:rsid w:val="007E4715"/>
    <w:rsid w:val="007E505B"/>
    <w:rsid w:val="007E7091"/>
    <w:rsid w:val="007F0F93"/>
    <w:rsid w:val="007F424C"/>
    <w:rsid w:val="007F4B1B"/>
    <w:rsid w:val="00803FAE"/>
    <w:rsid w:val="00804482"/>
    <w:rsid w:val="00804912"/>
    <w:rsid w:val="0080605F"/>
    <w:rsid w:val="00807786"/>
    <w:rsid w:val="00810D88"/>
    <w:rsid w:val="00811FCB"/>
    <w:rsid w:val="008158D6"/>
    <w:rsid w:val="00817196"/>
    <w:rsid w:val="008235DB"/>
    <w:rsid w:val="00824AB4"/>
    <w:rsid w:val="00825C42"/>
    <w:rsid w:val="00825D25"/>
    <w:rsid w:val="00826A8D"/>
    <w:rsid w:val="00827D6F"/>
    <w:rsid w:val="00831E78"/>
    <w:rsid w:val="0083299B"/>
    <w:rsid w:val="008348DD"/>
    <w:rsid w:val="008376AC"/>
    <w:rsid w:val="00840752"/>
    <w:rsid w:val="0084124A"/>
    <w:rsid w:val="008444E8"/>
    <w:rsid w:val="00844E80"/>
    <w:rsid w:val="00845DA9"/>
    <w:rsid w:val="00846901"/>
    <w:rsid w:val="00846FE7"/>
    <w:rsid w:val="00854F97"/>
    <w:rsid w:val="00856911"/>
    <w:rsid w:val="0085736D"/>
    <w:rsid w:val="008677FD"/>
    <w:rsid w:val="008706D4"/>
    <w:rsid w:val="00870F8A"/>
    <w:rsid w:val="008719A4"/>
    <w:rsid w:val="00871D23"/>
    <w:rsid w:val="00874312"/>
    <w:rsid w:val="0087437C"/>
    <w:rsid w:val="008752C4"/>
    <w:rsid w:val="00875CD7"/>
    <w:rsid w:val="00876B4D"/>
    <w:rsid w:val="00877F18"/>
    <w:rsid w:val="008873C3"/>
    <w:rsid w:val="00887824"/>
    <w:rsid w:val="008925E0"/>
    <w:rsid w:val="00894A88"/>
    <w:rsid w:val="00895386"/>
    <w:rsid w:val="00897258"/>
    <w:rsid w:val="008A1C0D"/>
    <w:rsid w:val="008A21FF"/>
    <w:rsid w:val="008A2CE2"/>
    <w:rsid w:val="008A30AC"/>
    <w:rsid w:val="008A44B8"/>
    <w:rsid w:val="008A51A8"/>
    <w:rsid w:val="008A54C7"/>
    <w:rsid w:val="008A64E9"/>
    <w:rsid w:val="008A77D8"/>
    <w:rsid w:val="008B0483"/>
    <w:rsid w:val="008B120C"/>
    <w:rsid w:val="008B262B"/>
    <w:rsid w:val="008B387E"/>
    <w:rsid w:val="008B4024"/>
    <w:rsid w:val="008B51A0"/>
    <w:rsid w:val="008B592A"/>
    <w:rsid w:val="008B767B"/>
    <w:rsid w:val="008B7B5C"/>
    <w:rsid w:val="008C0C99"/>
    <w:rsid w:val="008C2017"/>
    <w:rsid w:val="008C4958"/>
    <w:rsid w:val="008C4BAA"/>
    <w:rsid w:val="008C5DDF"/>
    <w:rsid w:val="008C6AE8"/>
    <w:rsid w:val="008C7573"/>
    <w:rsid w:val="008D023F"/>
    <w:rsid w:val="008D22AC"/>
    <w:rsid w:val="008D34F1"/>
    <w:rsid w:val="008D39D8"/>
    <w:rsid w:val="008D6D1A"/>
    <w:rsid w:val="008D6F7B"/>
    <w:rsid w:val="008E065E"/>
    <w:rsid w:val="008E0927"/>
    <w:rsid w:val="008E1909"/>
    <w:rsid w:val="008E21BF"/>
    <w:rsid w:val="008E69A8"/>
    <w:rsid w:val="008E7751"/>
    <w:rsid w:val="008E7B70"/>
    <w:rsid w:val="008E7E93"/>
    <w:rsid w:val="008F0FDE"/>
    <w:rsid w:val="008F118A"/>
    <w:rsid w:val="008F1EAB"/>
    <w:rsid w:val="008F33DC"/>
    <w:rsid w:val="008F477F"/>
    <w:rsid w:val="008F6704"/>
    <w:rsid w:val="008F7909"/>
    <w:rsid w:val="00902350"/>
    <w:rsid w:val="0090336B"/>
    <w:rsid w:val="009053AA"/>
    <w:rsid w:val="00906939"/>
    <w:rsid w:val="00910B7D"/>
    <w:rsid w:val="00911DFB"/>
    <w:rsid w:val="009131D8"/>
    <w:rsid w:val="009139D9"/>
    <w:rsid w:val="00914AD8"/>
    <w:rsid w:val="00914DB8"/>
    <w:rsid w:val="00916079"/>
    <w:rsid w:val="00917CE9"/>
    <w:rsid w:val="00920BF2"/>
    <w:rsid w:val="00921C7A"/>
    <w:rsid w:val="00922010"/>
    <w:rsid w:val="00923631"/>
    <w:rsid w:val="00930085"/>
    <w:rsid w:val="00930C80"/>
    <w:rsid w:val="00931BD9"/>
    <w:rsid w:val="00932BD7"/>
    <w:rsid w:val="0093476D"/>
    <w:rsid w:val="00934FC4"/>
    <w:rsid w:val="0093618F"/>
    <w:rsid w:val="0093632A"/>
    <w:rsid w:val="009368F3"/>
    <w:rsid w:val="00940425"/>
    <w:rsid w:val="00941075"/>
    <w:rsid w:val="00941636"/>
    <w:rsid w:val="00943742"/>
    <w:rsid w:val="00944A83"/>
    <w:rsid w:val="00945C05"/>
    <w:rsid w:val="00946945"/>
    <w:rsid w:val="00946D82"/>
    <w:rsid w:val="00947713"/>
    <w:rsid w:val="00950DE7"/>
    <w:rsid w:val="00951A88"/>
    <w:rsid w:val="00953920"/>
    <w:rsid w:val="00953D47"/>
    <w:rsid w:val="0095681E"/>
    <w:rsid w:val="009572D4"/>
    <w:rsid w:val="00961921"/>
    <w:rsid w:val="00962358"/>
    <w:rsid w:val="0096430A"/>
    <w:rsid w:val="0096554B"/>
    <w:rsid w:val="0096584A"/>
    <w:rsid w:val="009705A9"/>
    <w:rsid w:val="00971F08"/>
    <w:rsid w:val="009730B0"/>
    <w:rsid w:val="00973C52"/>
    <w:rsid w:val="0097603D"/>
    <w:rsid w:val="00976949"/>
    <w:rsid w:val="00980477"/>
    <w:rsid w:val="00981DF8"/>
    <w:rsid w:val="00985253"/>
    <w:rsid w:val="009853B3"/>
    <w:rsid w:val="00987B67"/>
    <w:rsid w:val="00990630"/>
    <w:rsid w:val="00991761"/>
    <w:rsid w:val="00994DCA"/>
    <w:rsid w:val="009960EC"/>
    <w:rsid w:val="009970DD"/>
    <w:rsid w:val="009A0FBA"/>
    <w:rsid w:val="009A1601"/>
    <w:rsid w:val="009A30D0"/>
    <w:rsid w:val="009A462D"/>
    <w:rsid w:val="009A5CBA"/>
    <w:rsid w:val="009B1F30"/>
    <w:rsid w:val="009B3AC2"/>
    <w:rsid w:val="009B3F34"/>
    <w:rsid w:val="009B4DF4"/>
    <w:rsid w:val="009B5079"/>
    <w:rsid w:val="009B5172"/>
    <w:rsid w:val="009B564E"/>
    <w:rsid w:val="009B7E87"/>
    <w:rsid w:val="009B7F8C"/>
    <w:rsid w:val="009C403E"/>
    <w:rsid w:val="009C6957"/>
    <w:rsid w:val="009D40C7"/>
    <w:rsid w:val="009D4A50"/>
    <w:rsid w:val="009D4FF0"/>
    <w:rsid w:val="009D703C"/>
    <w:rsid w:val="009D718F"/>
    <w:rsid w:val="009E05D7"/>
    <w:rsid w:val="009E068F"/>
    <w:rsid w:val="009E14E0"/>
    <w:rsid w:val="009E35DB"/>
    <w:rsid w:val="009E47A3"/>
    <w:rsid w:val="009E65D9"/>
    <w:rsid w:val="009E781D"/>
    <w:rsid w:val="009F08F3"/>
    <w:rsid w:val="009F1D1D"/>
    <w:rsid w:val="009F344F"/>
    <w:rsid w:val="009F4B02"/>
    <w:rsid w:val="009F561F"/>
    <w:rsid w:val="00A0161C"/>
    <w:rsid w:val="00A024AC"/>
    <w:rsid w:val="00A0390A"/>
    <w:rsid w:val="00A048A8"/>
    <w:rsid w:val="00A04F49"/>
    <w:rsid w:val="00A1238E"/>
    <w:rsid w:val="00A13E54"/>
    <w:rsid w:val="00A17F63"/>
    <w:rsid w:val="00A2052C"/>
    <w:rsid w:val="00A2193B"/>
    <w:rsid w:val="00A22C5A"/>
    <w:rsid w:val="00A22E4E"/>
    <w:rsid w:val="00A2351A"/>
    <w:rsid w:val="00A236A0"/>
    <w:rsid w:val="00A2419F"/>
    <w:rsid w:val="00A264A9"/>
    <w:rsid w:val="00A27785"/>
    <w:rsid w:val="00A27CDC"/>
    <w:rsid w:val="00A30187"/>
    <w:rsid w:val="00A32DC9"/>
    <w:rsid w:val="00A3448A"/>
    <w:rsid w:val="00A34DA4"/>
    <w:rsid w:val="00A36297"/>
    <w:rsid w:val="00A3681C"/>
    <w:rsid w:val="00A36BCC"/>
    <w:rsid w:val="00A36CF9"/>
    <w:rsid w:val="00A41E2B"/>
    <w:rsid w:val="00A459EE"/>
    <w:rsid w:val="00A45B74"/>
    <w:rsid w:val="00A52E1D"/>
    <w:rsid w:val="00A56FCC"/>
    <w:rsid w:val="00A61499"/>
    <w:rsid w:val="00A625E1"/>
    <w:rsid w:val="00A62A77"/>
    <w:rsid w:val="00A63483"/>
    <w:rsid w:val="00A657D7"/>
    <w:rsid w:val="00A660AC"/>
    <w:rsid w:val="00A66F55"/>
    <w:rsid w:val="00A67E6C"/>
    <w:rsid w:val="00A71A4A"/>
    <w:rsid w:val="00A71B99"/>
    <w:rsid w:val="00A72CBC"/>
    <w:rsid w:val="00A739D0"/>
    <w:rsid w:val="00A73C72"/>
    <w:rsid w:val="00A75D1D"/>
    <w:rsid w:val="00A761D4"/>
    <w:rsid w:val="00A77EC4"/>
    <w:rsid w:val="00A8593C"/>
    <w:rsid w:val="00A92879"/>
    <w:rsid w:val="00A9442A"/>
    <w:rsid w:val="00AA016F"/>
    <w:rsid w:val="00AA0F7D"/>
    <w:rsid w:val="00AA1ED6"/>
    <w:rsid w:val="00AA2739"/>
    <w:rsid w:val="00AA51D6"/>
    <w:rsid w:val="00AA6158"/>
    <w:rsid w:val="00AA71AD"/>
    <w:rsid w:val="00AB0BC8"/>
    <w:rsid w:val="00AB11CA"/>
    <w:rsid w:val="00AB14D9"/>
    <w:rsid w:val="00AB4AB8"/>
    <w:rsid w:val="00AB655E"/>
    <w:rsid w:val="00AB77B4"/>
    <w:rsid w:val="00AB7932"/>
    <w:rsid w:val="00AB7C2B"/>
    <w:rsid w:val="00AC007F"/>
    <w:rsid w:val="00AC2ECD"/>
    <w:rsid w:val="00AC3119"/>
    <w:rsid w:val="00AC49FB"/>
    <w:rsid w:val="00AC5A10"/>
    <w:rsid w:val="00AC7331"/>
    <w:rsid w:val="00AD0AA3"/>
    <w:rsid w:val="00AD2E72"/>
    <w:rsid w:val="00AD3F94"/>
    <w:rsid w:val="00AD4A5A"/>
    <w:rsid w:val="00AD50EB"/>
    <w:rsid w:val="00AE143B"/>
    <w:rsid w:val="00AE1E7A"/>
    <w:rsid w:val="00AE27AC"/>
    <w:rsid w:val="00AE3743"/>
    <w:rsid w:val="00AE40E0"/>
    <w:rsid w:val="00AE4DBA"/>
    <w:rsid w:val="00AE4F07"/>
    <w:rsid w:val="00AF1C5D"/>
    <w:rsid w:val="00AF42D7"/>
    <w:rsid w:val="00B006FE"/>
    <w:rsid w:val="00B007CB"/>
    <w:rsid w:val="00B00E1D"/>
    <w:rsid w:val="00B014BB"/>
    <w:rsid w:val="00B02AA9"/>
    <w:rsid w:val="00B02FA3"/>
    <w:rsid w:val="00B04E2A"/>
    <w:rsid w:val="00B05084"/>
    <w:rsid w:val="00B10186"/>
    <w:rsid w:val="00B1180C"/>
    <w:rsid w:val="00B119F7"/>
    <w:rsid w:val="00B157F9"/>
    <w:rsid w:val="00B20256"/>
    <w:rsid w:val="00B20D09"/>
    <w:rsid w:val="00B2202F"/>
    <w:rsid w:val="00B22285"/>
    <w:rsid w:val="00B22B76"/>
    <w:rsid w:val="00B23F8C"/>
    <w:rsid w:val="00B25703"/>
    <w:rsid w:val="00B2763F"/>
    <w:rsid w:val="00B27AAC"/>
    <w:rsid w:val="00B30929"/>
    <w:rsid w:val="00B372AA"/>
    <w:rsid w:val="00B37C5F"/>
    <w:rsid w:val="00B40445"/>
    <w:rsid w:val="00B40694"/>
    <w:rsid w:val="00B41888"/>
    <w:rsid w:val="00B43136"/>
    <w:rsid w:val="00B45A52"/>
    <w:rsid w:val="00B46175"/>
    <w:rsid w:val="00B475E5"/>
    <w:rsid w:val="00B53D99"/>
    <w:rsid w:val="00B54640"/>
    <w:rsid w:val="00B6188F"/>
    <w:rsid w:val="00B6304F"/>
    <w:rsid w:val="00B664C7"/>
    <w:rsid w:val="00B669D6"/>
    <w:rsid w:val="00B701B4"/>
    <w:rsid w:val="00B73333"/>
    <w:rsid w:val="00B735F9"/>
    <w:rsid w:val="00B739F6"/>
    <w:rsid w:val="00B75184"/>
    <w:rsid w:val="00B77A21"/>
    <w:rsid w:val="00B80C45"/>
    <w:rsid w:val="00B81A6C"/>
    <w:rsid w:val="00B854D0"/>
    <w:rsid w:val="00B85DE5"/>
    <w:rsid w:val="00B90F73"/>
    <w:rsid w:val="00B93B59"/>
    <w:rsid w:val="00B9406A"/>
    <w:rsid w:val="00B957A0"/>
    <w:rsid w:val="00BA2280"/>
    <w:rsid w:val="00BA2948"/>
    <w:rsid w:val="00BA2A08"/>
    <w:rsid w:val="00BA56D2"/>
    <w:rsid w:val="00BA76E0"/>
    <w:rsid w:val="00BB18B0"/>
    <w:rsid w:val="00BB2A25"/>
    <w:rsid w:val="00BB51E9"/>
    <w:rsid w:val="00BC0FDC"/>
    <w:rsid w:val="00BC3053"/>
    <w:rsid w:val="00BC4D2E"/>
    <w:rsid w:val="00BD48AC"/>
    <w:rsid w:val="00BD5F1A"/>
    <w:rsid w:val="00BE07E2"/>
    <w:rsid w:val="00BE1234"/>
    <w:rsid w:val="00BE2FA6"/>
    <w:rsid w:val="00BE333F"/>
    <w:rsid w:val="00BE7406"/>
    <w:rsid w:val="00BE7603"/>
    <w:rsid w:val="00BF01AF"/>
    <w:rsid w:val="00BF0DE8"/>
    <w:rsid w:val="00BF147F"/>
    <w:rsid w:val="00BF3279"/>
    <w:rsid w:val="00BF74C7"/>
    <w:rsid w:val="00C015F1"/>
    <w:rsid w:val="00C01F33"/>
    <w:rsid w:val="00C02CC6"/>
    <w:rsid w:val="00C03A4F"/>
    <w:rsid w:val="00C040F7"/>
    <w:rsid w:val="00C041B0"/>
    <w:rsid w:val="00C044AB"/>
    <w:rsid w:val="00C05706"/>
    <w:rsid w:val="00C07377"/>
    <w:rsid w:val="00C10478"/>
    <w:rsid w:val="00C12107"/>
    <w:rsid w:val="00C12A02"/>
    <w:rsid w:val="00C14D4B"/>
    <w:rsid w:val="00C154BB"/>
    <w:rsid w:val="00C21DCB"/>
    <w:rsid w:val="00C24345"/>
    <w:rsid w:val="00C25B3A"/>
    <w:rsid w:val="00C279B5"/>
    <w:rsid w:val="00C27C45"/>
    <w:rsid w:val="00C32BF9"/>
    <w:rsid w:val="00C3719D"/>
    <w:rsid w:val="00C372E0"/>
    <w:rsid w:val="00C41139"/>
    <w:rsid w:val="00C47277"/>
    <w:rsid w:val="00C54995"/>
    <w:rsid w:val="00C54D41"/>
    <w:rsid w:val="00C602BE"/>
    <w:rsid w:val="00C60783"/>
    <w:rsid w:val="00C62DF2"/>
    <w:rsid w:val="00C6429D"/>
    <w:rsid w:val="00C64672"/>
    <w:rsid w:val="00C66B88"/>
    <w:rsid w:val="00C70697"/>
    <w:rsid w:val="00C72066"/>
    <w:rsid w:val="00C72EF4"/>
    <w:rsid w:val="00C75D2F"/>
    <w:rsid w:val="00C767BE"/>
    <w:rsid w:val="00C76E3C"/>
    <w:rsid w:val="00C81568"/>
    <w:rsid w:val="00C8778C"/>
    <w:rsid w:val="00C9027A"/>
    <w:rsid w:val="00C9068E"/>
    <w:rsid w:val="00C90C65"/>
    <w:rsid w:val="00C90EA5"/>
    <w:rsid w:val="00C92A30"/>
    <w:rsid w:val="00C93C4B"/>
    <w:rsid w:val="00C944AB"/>
    <w:rsid w:val="00C94BAE"/>
    <w:rsid w:val="00C95B40"/>
    <w:rsid w:val="00C97E18"/>
    <w:rsid w:val="00CA1ED8"/>
    <w:rsid w:val="00CA248C"/>
    <w:rsid w:val="00CA5CA8"/>
    <w:rsid w:val="00CB1F63"/>
    <w:rsid w:val="00CB4A88"/>
    <w:rsid w:val="00CB7170"/>
    <w:rsid w:val="00CC040E"/>
    <w:rsid w:val="00CC111F"/>
    <w:rsid w:val="00CC2011"/>
    <w:rsid w:val="00CC3EA0"/>
    <w:rsid w:val="00CC7B45"/>
    <w:rsid w:val="00CD1188"/>
    <w:rsid w:val="00CD2ED1"/>
    <w:rsid w:val="00CD337B"/>
    <w:rsid w:val="00CD3CEE"/>
    <w:rsid w:val="00CD752C"/>
    <w:rsid w:val="00CE0424"/>
    <w:rsid w:val="00CE0995"/>
    <w:rsid w:val="00CE4F87"/>
    <w:rsid w:val="00CE7561"/>
    <w:rsid w:val="00CF1354"/>
    <w:rsid w:val="00CF2EBC"/>
    <w:rsid w:val="00CF3B1F"/>
    <w:rsid w:val="00CF3BF6"/>
    <w:rsid w:val="00CF43FC"/>
    <w:rsid w:val="00CF625B"/>
    <w:rsid w:val="00CF687E"/>
    <w:rsid w:val="00D0349B"/>
    <w:rsid w:val="00D10249"/>
    <w:rsid w:val="00D10AEF"/>
    <w:rsid w:val="00D115C3"/>
    <w:rsid w:val="00D11897"/>
    <w:rsid w:val="00D11AD3"/>
    <w:rsid w:val="00D13135"/>
    <w:rsid w:val="00D13E4E"/>
    <w:rsid w:val="00D1511B"/>
    <w:rsid w:val="00D239A7"/>
    <w:rsid w:val="00D23F47"/>
    <w:rsid w:val="00D27916"/>
    <w:rsid w:val="00D30244"/>
    <w:rsid w:val="00D305E5"/>
    <w:rsid w:val="00D315DF"/>
    <w:rsid w:val="00D317A6"/>
    <w:rsid w:val="00D337A3"/>
    <w:rsid w:val="00D36E71"/>
    <w:rsid w:val="00D37D87"/>
    <w:rsid w:val="00D40A02"/>
    <w:rsid w:val="00D40B33"/>
    <w:rsid w:val="00D4318F"/>
    <w:rsid w:val="00D438BF"/>
    <w:rsid w:val="00D440F8"/>
    <w:rsid w:val="00D50F97"/>
    <w:rsid w:val="00D546FF"/>
    <w:rsid w:val="00D55AD5"/>
    <w:rsid w:val="00D56E57"/>
    <w:rsid w:val="00D570C5"/>
    <w:rsid w:val="00D575C7"/>
    <w:rsid w:val="00D576CA"/>
    <w:rsid w:val="00D61AF5"/>
    <w:rsid w:val="00D64850"/>
    <w:rsid w:val="00D652B5"/>
    <w:rsid w:val="00D66155"/>
    <w:rsid w:val="00D708B0"/>
    <w:rsid w:val="00D77B1D"/>
    <w:rsid w:val="00D8021F"/>
    <w:rsid w:val="00D80383"/>
    <w:rsid w:val="00D823C6"/>
    <w:rsid w:val="00D8333A"/>
    <w:rsid w:val="00D83C3A"/>
    <w:rsid w:val="00D859BC"/>
    <w:rsid w:val="00D86CA3"/>
    <w:rsid w:val="00D871CE"/>
    <w:rsid w:val="00D87F1F"/>
    <w:rsid w:val="00D9196D"/>
    <w:rsid w:val="00D92982"/>
    <w:rsid w:val="00D93A93"/>
    <w:rsid w:val="00D96D86"/>
    <w:rsid w:val="00DA077A"/>
    <w:rsid w:val="00DA305E"/>
    <w:rsid w:val="00DA5417"/>
    <w:rsid w:val="00DA56E8"/>
    <w:rsid w:val="00DA6961"/>
    <w:rsid w:val="00DA7A94"/>
    <w:rsid w:val="00DB0814"/>
    <w:rsid w:val="00DB0A9F"/>
    <w:rsid w:val="00DB377D"/>
    <w:rsid w:val="00DB6CFF"/>
    <w:rsid w:val="00DC2D36"/>
    <w:rsid w:val="00DC53EF"/>
    <w:rsid w:val="00DE29A9"/>
    <w:rsid w:val="00DE41DB"/>
    <w:rsid w:val="00DE5608"/>
    <w:rsid w:val="00DE58D0"/>
    <w:rsid w:val="00DE654F"/>
    <w:rsid w:val="00DF0B6E"/>
    <w:rsid w:val="00DF15E0"/>
    <w:rsid w:val="00DF1781"/>
    <w:rsid w:val="00DF37A0"/>
    <w:rsid w:val="00E110E7"/>
    <w:rsid w:val="00E11163"/>
    <w:rsid w:val="00E11B20"/>
    <w:rsid w:val="00E1523B"/>
    <w:rsid w:val="00E15569"/>
    <w:rsid w:val="00E17FA2"/>
    <w:rsid w:val="00E22330"/>
    <w:rsid w:val="00E22D88"/>
    <w:rsid w:val="00E262AA"/>
    <w:rsid w:val="00E30B5A"/>
    <w:rsid w:val="00E3123D"/>
    <w:rsid w:val="00E31461"/>
    <w:rsid w:val="00E31D43"/>
    <w:rsid w:val="00E32608"/>
    <w:rsid w:val="00E34188"/>
    <w:rsid w:val="00E34B6E"/>
    <w:rsid w:val="00E35559"/>
    <w:rsid w:val="00E3723A"/>
    <w:rsid w:val="00E37860"/>
    <w:rsid w:val="00E40888"/>
    <w:rsid w:val="00E41919"/>
    <w:rsid w:val="00E42451"/>
    <w:rsid w:val="00E4375A"/>
    <w:rsid w:val="00E437DE"/>
    <w:rsid w:val="00E44147"/>
    <w:rsid w:val="00E446F1"/>
    <w:rsid w:val="00E4543C"/>
    <w:rsid w:val="00E455B3"/>
    <w:rsid w:val="00E46886"/>
    <w:rsid w:val="00E47AEF"/>
    <w:rsid w:val="00E50DFB"/>
    <w:rsid w:val="00E53B75"/>
    <w:rsid w:val="00E54E3B"/>
    <w:rsid w:val="00E57565"/>
    <w:rsid w:val="00E63838"/>
    <w:rsid w:val="00E639F0"/>
    <w:rsid w:val="00E64434"/>
    <w:rsid w:val="00E65342"/>
    <w:rsid w:val="00E67C51"/>
    <w:rsid w:val="00E72EFC"/>
    <w:rsid w:val="00E758EC"/>
    <w:rsid w:val="00E77D16"/>
    <w:rsid w:val="00E8234C"/>
    <w:rsid w:val="00E83AA9"/>
    <w:rsid w:val="00E83EB6"/>
    <w:rsid w:val="00E85928"/>
    <w:rsid w:val="00E87822"/>
    <w:rsid w:val="00E90395"/>
    <w:rsid w:val="00E90E49"/>
    <w:rsid w:val="00E917F9"/>
    <w:rsid w:val="00E9291C"/>
    <w:rsid w:val="00E92CE2"/>
    <w:rsid w:val="00E93FFE"/>
    <w:rsid w:val="00E94F8A"/>
    <w:rsid w:val="00E97142"/>
    <w:rsid w:val="00EA385C"/>
    <w:rsid w:val="00EA671D"/>
    <w:rsid w:val="00EA7A41"/>
    <w:rsid w:val="00EB077B"/>
    <w:rsid w:val="00EB4EA2"/>
    <w:rsid w:val="00EB648E"/>
    <w:rsid w:val="00EC279C"/>
    <w:rsid w:val="00EC27C6"/>
    <w:rsid w:val="00EC2DDF"/>
    <w:rsid w:val="00EC4207"/>
    <w:rsid w:val="00EC5653"/>
    <w:rsid w:val="00EC71CE"/>
    <w:rsid w:val="00ED1006"/>
    <w:rsid w:val="00ED7379"/>
    <w:rsid w:val="00EF1031"/>
    <w:rsid w:val="00EF18FE"/>
    <w:rsid w:val="00EF5787"/>
    <w:rsid w:val="00EF60D0"/>
    <w:rsid w:val="00F044C9"/>
    <w:rsid w:val="00F0528D"/>
    <w:rsid w:val="00F05D90"/>
    <w:rsid w:val="00F06C67"/>
    <w:rsid w:val="00F06DFD"/>
    <w:rsid w:val="00F06E80"/>
    <w:rsid w:val="00F071D1"/>
    <w:rsid w:val="00F07533"/>
    <w:rsid w:val="00F07CF6"/>
    <w:rsid w:val="00F10629"/>
    <w:rsid w:val="00F138FC"/>
    <w:rsid w:val="00F15FA5"/>
    <w:rsid w:val="00F209B7"/>
    <w:rsid w:val="00F20C27"/>
    <w:rsid w:val="00F217B1"/>
    <w:rsid w:val="00F220D6"/>
    <w:rsid w:val="00F2376F"/>
    <w:rsid w:val="00F23FD6"/>
    <w:rsid w:val="00F243D8"/>
    <w:rsid w:val="00F30828"/>
    <w:rsid w:val="00F313D6"/>
    <w:rsid w:val="00F319A3"/>
    <w:rsid w:val="00F319F1"/>
    <w:rsid w:val="00F32804"/>
    <w:rsid w:val="00F37407"/>
    <w:rsid w:val="00F40F0C"/>
    <w:rsid w:val="00F411F6"/>
    <w:rsid w:val="00F417E8"/>
    <w:rsid w:val="00F44B7B"/>
    <w:rsid w:val="00F4766C"/>
    <w:rsid w:val="00F507D1"/>
    <w:rsid w:val="00F519CE"/>
    <w:rsid w:val="00F51ADA"/>
    <w:rsid w:val="00F54B1A"/>
    <w:rsid w:val="00F54DA9"/>
    <w:rsid w:val="00F607C5"/>
    <w:rsid w:val="00F60DEA"/>
    <w:rsid w:val="00F6302A"/>
    <w:rsid w:val="00F6337D"/>
    <w:rsid w:val="00F64C2B"/>
    <w:rsid w:val="00F651BE"/>
    <w:rsid w:val="00F6619E"/>
    <w:rsid w:val="00F67F53"/>
    <w:rsid w:val="00F703BE"/>
    <w:rsid w:val="00F71F69"/>
    <w:rsid w:val="00F72B72"/>
    <w:rsid w:val="00F74BB9"/>
    <w:rsid w:val="00F75582"/>
    <w:rsid w:val="00F76B67"/>
    <w:rsid w:val="00F76EFA"/>
    <w:rsid w:val="00F804BE"/>
    <w:rsid w:val="00F817CE"/>
    <w:rsid w:val="00F8456C"/>
    <w:rsid w:val="00F859D8"/>
    <w:rsid w:val="00F868F5"/>
    <w:rsid w:val="00F8762A"/>
    <w:rsid w:val="00F9056A"/>
    <w:rsid w:val="00F90C1C"/>
    <w:rsid w:val="00F90F8D"/>
    <w:rsid w:val="00F92782"/>
    <w:rsid w:val="00F93A23"/>
    <w:rsid w:val="00F93AA9"/>
    <w:rsid w:val="00F96347"/>
    <w:rsid w:val="00F96985"/>
    <w:rsid w:val="00F97838"/>
    <w:rsid w:val="00FA2BB3"/>
    <w:rsid w:val="00FA33A2"/>
    <w:rsid w:val="00FB458A"/>
    <w:rsid w:val="00FB4834"/>
    <w:rsid w:val="00FB4C80"/>
    <w:rsid w:val="00FB5564"/>
    <w:rsid w:val="00FB6A6A"/>
    <w:rsid w:val="00FC13B5"/>
    <w:rsid w:val="00FC2440"/>
    <w:rsid w:val="00FC630D"/>
    <w:rsid w:val="00FC7429"/>
    <w:rsid w:val="00FD017B"/>
    <w:rsid w:val="00FD07F6"/>
    <w:rsid w:val="00FD1EC8"/>
    <w:rsid w:val="00FD24A9"/>
    <w:rsid w:val="00FD283D"/>
    <w:rsid w:val="00FD47ED"/>
    <w:rsid w:val="00FD74DB"/>
    <w:rsid w:val="00FD7660"/>
    <w:rsid w:val="00FE0655"/>
    <w:rsid w:val="00FE142D"/>
    <w:rsid w:val="00FE2365"/>
    <w:rsid w:val="00FE2BBB"/>
    <w:rsid w:val="00FE4C7B"/>
    <w:rsid w:val="00FE7336"/>
    <w:rsid w:val="00FE787C"/>
    <w:rsid w:val="00FF2215"/>
    <w:rsid w:val="00FF2925"/>
    <w:rsid w:val="00FF45A5"/>
    <w:rsid w:val="00FF5C91"/>
    <w:rsid w:val="00FF74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aliases w:val="cap"/>
    <w:basedOn w:val="Normal"/>
    <w:next w:val="Normal"/>
    <w:link w:val="CaptionChar"/>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link w:val="Header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link w:val="ReferenceChar"/>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qFormat/>
    <w:rsid w:val="003B1828"/>
    <w:pPr>
      <w:numPr>
        <w:numId w:val="3"/>
      </w:numPr>
      <w:tabs>
        <w:tab w:val="left" w:pos="1701"/>
      </w:tabs>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uiPriority w:val="99"/>
    <w:rsid w:val="00FD24A9"/>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character" w:styleId="UnresolvedMention">
    <w:name w:val="Unresolved Mention"/>
    <w:basedOn w:val="DefaultParagraphFont"/>
    <w:uiPriority w:val="99"/>
    <w:semiHidden/>
    <w:unhideWhenUsed/>
    <w:rsid w:val="006E6DDA"/>
    <w:rPr>
      <w:color w:val="605E5C"/>
      <w:shd w:val="clear" w:color="auto" w:fill="E1DFDD"/>
    </w:rPr>
  </w:style>
  <w:style w:type="table" w:styleId="TableGrid">
    <w:name w:val="Table Grid"/>
    <w:basedOn w:val="TableNormal"/>
    <w:uiPriority w:val="39"/>
    <w:rsid w:val="00D317A6"/>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ListNumber2"/>
    <w:rsid w:val="00D317A6"/>
    <w:pPr>
      <w:ind w:left="926" w:hanging="360"/>
      <w:contextualSpacing/>
    </w:pPr>
    <w:rPr>
      <w:lang w:eastAsia="ja-JP"/>
    </w:rPr>
  </w:style>
  <w:style w:type="character" w:customStyle="1" w:styleId="CaptionChar">
    <w:name w:val="Caption Char"/>
    <w:aliases w:val="cap Char"/>
    <w:link w:val="Caption"/>
    <w:locked/>
    <w:rsid w:val="00D317A6"/>
    <w:rPr>
      <w:rFonts w:ascii="Arial" w:hAnsi="Arial"/>
      <w:b/>
      <w:bCs/>
      <w:lang w:val="en-GB" w:eastAsia="zh-CN"/>
    </w:rPr>
  </w:style>
  <w:style w:type="character" w:customStyle="1" w:styleId="ReferenceChar">
    <w:name w:val="Reference Char"/>
    <w:link w:val="Reference"/>
    <w:locked/>
    <w:rsid w:val="00C62DF2"/>
    <w:rPr>
      <w:rFonts w:ascii="Arial" w:hAnsi="Arial"/>
      <w:lang w:val="en-GB" w:eastAsia="zh-CN"/>
    </w:rPr>
  </w:style>
  <w:style w:type="paragraph" w:styleId="ListNumber4">
    <w:name w:val="List Number 4"/>
    <w:basedOn w:val="Normal"/>
    <w:rsid w:val="00700472"/>
    <w:pPr>
      <w:numPr>
        <w:numId w:val="43"/>
      </w:numPr>
      <w:tabs>
        <w:tab w:val="left" w:pos="720"/>
        <w:tab w:val="left" w:pos="1209"/>
      </w:tabs>
      <w:spacing w:after="180"/>
      <w:ind w:left="1209"/>
      <w:jc w:val="left"/>
    </w:pPr>
    <w:rPr>
      <w:rFonts w:ascii="Times New Roman" w:eastAsia="MS Mincho" w:hAnsi="Times New Roman"/>
      <w:lang w:eastAsia="en-GB"/>
    </w:rPr>
  </w:style>
  <w:style w:type="character" w:customStyle="1" w:styleId="HeaderChar">
    <w:name w:val="Header Char"/>
    <w:link w:val="Header"/>
    <w:rsid w:val="004741B6"/>
    <w:rPr>
      <w:rFonts w:ascii="Arial" w:hAnsi="Arial" w:cs="Arial"/>
      <w:b/>
      <w:bCs/>
      <w:noProof/>
      <w:sz w:val="18"/>
      <w:szCs w:val="18"/>
      <w:lang w:eastAsia="zh-CN"/>
    </w:rPr>
  </w:style>
  <w:style w:type="paragraph" w:styleId="Revision">
    <w:name w:val="Revision"/>
    <w:hidden/>
    <w:uiPriority w:val="99"/>
    <w:semiHidden/>
    <w:rsid w:val="007565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8425378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28560141">
      <w:bodyDiv w:val="1"/>
      <w:marLeft w:val="0"/>
      <w:marRight w:val="0"/>
      <w:marTop w:val="0"/>
      <w:marBottom w:val="0"/>
      <w:divBdr>
        <w:top w:val="none" w:sz="0" w:space="0" w:color="auto"/>
        <w:left w:val="none" w:sz="0" w:space="0" w:color="auto"/>
        <w:bottom w:val="none" w:sz="0" w:space="0" w:color="auto"/>
        <w:right w:val="none" w:sz="0" w:space="0" w:color="auto"/>
      </w:divBdr>
      <w:divsChild>
        <w:div w:id="1012487762">
          <w:marLeft w:val="1699"/>
          <w:marRight w:val="0"/>
          <w:marTop w:val="60"/>
          <w:marBottom w:val="0"/>
          <w:divBdr>
            <w:top w:val="none" w:sz="0" w:space="0" w:color="auto"/>
            <w:left w:val="none" w:sz="0" w:space="0" w:color="auto"/>
            <w:bottom w:val="none" w:sz="0" w:space="0" w:color="auto"/>
            <w:right w:val="none" w:sz="0" w:space="0" w:color="auto"/>
          </w:divBdr>
        </w:div>
        <w:div w:id="592978230">
          <w:marLeft w:val="2261"/>
          <w:marRight w:val="0"/>
          <w:marTop w:val="60"/>
          <w:marBottom w:val="0"/>
          <w:divBdr>
            <w:top w:val="none" w:sz="0" w:space="0" w:color="auto"/>
            <w:left w:val="none" w:sz="0" w:space="0" w:color="auto"/>
            <w:bottom w:val="none" w:sz="0" w:space="0" w:color="auto"/>
            <w:right w:val="none" w:sz="0" w:space="0" w:color="auto"/>
          </w:divBdr>
        </w:div>
        <w:div w:id="1437015545">
          <w:marLeft w:val="1699"/>
          <w:marRight w:val="0"/>
          <w:marTop w:val="60"/>
          <w:marBottom w:val="0"/>
          <w:divBdr>
            <w:top w:val="none" w:sz="0" w:space="0" w:color="auto"/>
            <w:left w:val="none" w:sz="0" w:space="0" w:color="auto"/>
            <w:bottom w:val="none" w:sz="0" w:space="0" w:color="auto"/>
            <w:right w:val="none" w:sz="0" w:space="0" w:color="auto"/>
          </w:divBdr>
        </w:div>
        <w:div w:id="1631590743">
          <w:marLeft w:val="2261"/>
          <w:marRight w:val="0"/>
          <w:marTop w:val="60"/>
          <w:marBottom w:val="0"/>
          <w:divBdr>
            <w:top w:val="none" w:sz="0" w:space="0" w:color="auto"/>
            <w:left w:val="none" w:sz="0" w:space="0" w:color="auto"/>
            <w:bottom w:val="none" w:sz="0" w:space="0" w:color="auto"/>
            <w:right w:val="none" w:sz="0" w:space="0" w:color="auto"/>
          </w:divBdr>
        </w:div>
        <w:div w:id="1609310444">
          <w:marLeft w:val="1699"/>
          <w:marRight w:val="0"/>
          <w:marTop w:val="60"/>
          <w:marBottom w:val="0"/>
          <w:divBdr>
            <w:top w:val="none" w:sz="0" w:space="0" w:color="auto"/>
            <w:left w:val="none" w:sz="0" w:space="0" w:color="auto"/>
            <w:bottom w:val="none" w:sz="0" w:space="0" w:color="auto"/>
            <w:right w:val="none" w:sz="0" w:space="0" w:color="auto"/>
          </w:divBdr>
        </w:div>
        <w:div w:id="2026129770">
          <w:marLeft w:val="1699"/>
          <w:marRight w:val="0"/>
          <w:marTop w:val="60"/>
          <w:marBottom w:val="0"/>
          <w:divBdr>
            <w:top w:val="none" w:sz="0" w:space="0" w:color="auto"/>
            <w:left w:val="none" w:sz="0" w:space="0" w:color="auto"/>
            <w:bottom w:val="none" w:sz="0" w:space="0" w:color="auto"/>
            <w:right w:val="none" w:sz="0" w:space="0" w:color="auto"/>
          </w:divBdr>
        </w:div>
        <w:div w:id="1948273518">
          <w:marLeft w:val="2261"/>
          <w:marRight w:val="0"/>
          <w:marTop w:val="60"/>
          <w:marBottom w:val="0"/>
          <w:divBdr>
            <w:top w:val="none" w:sz="0" w:space="0" w:color="auto"/>
            <w:left w:val="none" w:sz="0" w:space="0" w:color="auto"/>
            <w:bottom w:val="none" w:sz="0" w:space="0" w:color="auto"/>
            <w:right w:val="none" w:sz="0" w:space="0" w:color="auto"/>
          </w:divBdr>
        </w:div>
        <w:div w:id="1269316248">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42B45FC9-D871-4AF8-A10E-A7D9C3B35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F53E8F-19DC-46A5-B27D-E90201F4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80</TotalTime>
  <Pages>7</Pages>
  <Words>3812</Words>
  <Characters>21729</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Sorour Falahati</cp:lastModifiedBy>
  <cp:revision>10</cp:revision>
  <dcterms:created xsi:type="dcterms:W3CDTF">2018-12-03T14:25:00Z</dcterms:created>
  <dcterms:modified xsi:type="dcterms:W3CDTF">2018-12-03T22:43:00Z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0x010100364BACF91AB9B04BA611BD733272C84E</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Date">
    <vt:lpwstr>2018-09-03</vt:lpwstr>
  </property>
</Properties>
</file>